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5D" w:rsidRDefault="00624991" w:rsidP="00624991">
      <w:pPr>
        <w:spacing w:before="100" w:beforeAutospacing="1" w:after="100" w:afterAutospacing="1"/>
        <w:jc w:val="both"/>
        <w:rPr>
          <w:rFonts w:ascii="Arial" w:hAnsi="Arial" w:cs="Arial"/>
          <w:lang w:val="es-UY"/>
        </w:rPr>
      </w:pPr>
      <w:r w:rsidRPr="00B5248E">
        <w:rPr>
          <w:rFonts w:ascii="Arial" w:hAnsi="Arial" w:cs="Arial"/>
          <w:lang w:val="es-UY"/>
        </w:rPr>
        <w:t>ARTÍCULO 1.-</w:t>
      </w:r>
      <w:r w:rsidR="00C022F0">
        <w:rPr>
          <w:rFonts w:ascii="Arial" w:hAnsi="Arial" w:cs="Arial"/>
          <w:lang w:val="es-UY"/>
        </w:rPr>
        <w:t xml:space="preserve"> </w:t>
      </w:r>
      <w:r w:rsidR="007D675D">
        <w:rPr>
          <w:rFonts w:ascii="Arial" w:hAnsi="Arial" w:cs="Arial"/>
          <w:lang w:val="es-UY"/>
        </w:rPr>
        <w:t>El ejercicio de las libertades de trabajo, industria y comercio, queda sujeto a las limitaciones de interés general que se establecen en la presente ley</w:t>
      </w:r>
    </w:p>
    <w:p w:rsidR="002A7F73" w:rsidRDefault="00624991" w:rsidP="00C022F0">
      <w:pPr>
        <w:spacing w:before="100" w:beforeAutospacing="1" w:after="100" w:afterAutospacing="1"/>
        <w:jc w:val="both"/>
        <w:rPr>
          <w:rFonts w:ascii="Arial" w:hAnsi="Arial" w:cs="Arial"/>
          <w:lang w:val="es-AR"/>
        </w:rPr>
      </w:pPr>
      <w:r w:rsidRPr="00B5248E">
        <w:rPr>
          <w:rFonts w:ascii="Arial" w:hAnsi="Arial" w:cs="Arial"/>
          <w:lang w:val="es-AR"/>
        </w:rPr>
        <w:t>ARTÍCULO 2.-</w:t>
      </w:r>
      <w:r w:rsidR="00C022F0">
        <w:rPr>
          <w:rFonts w:ascii="Arial" w:hAnsi="Arial" w:cs="Arial"/>
          <w:lang w:val="es-AR"/>
        </w:rPr>
        <w:t xml:space="preserve"> </w:t>
      </w:r>
      <w:r w:rsidR="002A7F73" w:rsidRPr="002A7F73">
        <w:rPr>
          <w:rFonts w:ascii="Arial" w:hAnsi="Arial" w:cs="Arial"/>
          <w:lang w:val="es-AR"/>
        </w:rPr>
        <w:t xml:space="preserve">La presente ley es de aplicación a todos los servicios prestados en el territorio nacional, </w:t>
      </w:r>
      <w:r w:rsidR="007D675D">
        <w:rPr>
          <w:rFonts w:ascii="Arial" w:hAnsi="Arial" w:cs="Arial"/>
          <w:color w:val="FF0000"/>
          <w:lang w:val="es-AR"/>
        </w:rPr>
        <w:t xml:space="preserve"> </w:t>
      </w:r>
      <w:r w:rsidR="002A7F73" w:rsidRPr="002A7F73">
        <w:rPr>
          <w:rFonts w:ascii="Arial" w:hAnsi="Arial" w:cs="Arial"/>
          <w:lang w:val="es-AR"/>
        </w:rPr>
        <w:t>a título oneroso, que utilizan para su contratación una plataforma informática de intermediación</w:t>
      </w:r>
    </w:p>
    <w:p w:rsidR="00D51B39" w:rsidRDefault="002A7F73" w:rsidP="007438E6">
      <w:pPr>
        <w:spacing w:before="100" w:beforeAutospacing="1" w:after="100" w:afterAutospacing="1" w:line="276" w:lineRule="auto"/>
        <w:jc w:val="both"/>
        <w:rPr>
          <w:rFonts w:ascii="Arial" w:hAnsi="Arial" w:cs="Arial"/>
          <w:lang w:val="es-AR"/>
        </w:rPr>
      </w:pPr>
      <w:r w:rsidRPr="002A7F73">
        <w:rPr>
          <w:rFonts w:ascii="Arial" w:hAnsi="Arial" w:cs="Arial"/>
          <w:lang w:val="es-AR"/>
        </w:rPr>
        <w:t>Dichos servicios estarán sujetos a las disposiciones del ordenamiento jurídico que les sean de aplicación, en función de la actividad que desarrollen, con independencia de la utilización de medios electrónicos para su contrataci</w:t>
      </w:r>
      <w:r w:rsidR="003C3A9F">
        <w:rPr>
          <w:rFonts w:ascii="Arial" w:hAnsi="Arial" w:cs="Arial"/>
          <w:lang w:val="es-AR"/>
        </w:rPr>
        <w:t>ón,</w:t>
      </w:r>
    </w:p>
    <w:p w:rsidR="00624991" w:rsidRPr="00B5248E" w:rsidRDefault="00624991" w:rsidP="00624991">
      <w:pPr>
        <w:spacing w:before="100" w:beforeAutospacing="1" w:after="100" w:afterAutospacing="1"/>
        <w:jc w:val="both"/>
        <w:rPr>
          <w:rFonts w:ascii="Arial" w:hAnsi="Arial" w:cs="Arial"/>
          <w:lang w:val="es-UY"/>
        </w:rPr>
      </w:pPr>
      <w:r w:rsidRPr="00B5248E">
        <w:rPr>
          <w:rFonts w:ascii="Arial" w:hAnsi="Arial" w:cs="Arial"/>
          <w:lang w:val="es-UY"/>
        </w:rPr>
        <w:t> ARTÍCULO 3.-</w:t>
      </w:r>
      <w:r w:rsidR="00C022F0">
        <w:rPr>
          <w:rFonts w:ascii="Arial" w:hAnsi="Arial" w:cs="Arial"/>
          <w:lang w:val="es-UY"/>
        </w:rPr>
        <w:t xml:space="preserve"> </w:t>
      </w:r>
      <w:r w:rsidRPr="00B5248E">
        <w:rPr>
          <w:rFonts w:ascii="Arial" w:hAnsi="Arial" w:cs="Arial"/>
          <w:lang w:val="es-UY"/>
        </w:rPr>
        <w:t>Los servicios regulados por la presente ley se ajustarán a los siguientes principios generales:</w:t>
      </w:r>
    </w:p>
    <w:p w:rsidR="00624991" w:rsidRDefault="00624991" w:rsidP="00624991">
      <w:pPr>
        <w:spacing w:before="100" w:beforeAutospacing="1" w:after="100" w:afterAutospacing="1"/>
        <w:jc w:val="both"/>
        <w:rPr>
          <w:rFonts w:ascii="Arial" w:hAnsi="Arial" w:cs="Arial"/>
          <w:lang w:val="es-UY"/>
        </w:rPr>
      </w:pPr>
      <w:r w:rsidRPr="00B5248E">
        <w:rPr>
          <w:rFonts w:ascii="Arial" w:hAnsi="Arial" w:cs="Arial"/>
          <w:lang w:val="es-UY"/>
        </w:rPr>
        <w:t xml:space="preserve">A) Equivalencia funcional: </w:t>
      </w:r>
      <w:r w:rsidRPr="00D51B39">
        <w:rPr>
          <w:rFonts w:ascii="Arial" w:hAnsi="Arial" w:cs="Arial"/>
          <w:lang w:val="es-UY"/>
        </w:rPr>
        <w:t>los servicios contratados por medios electrónicos no estarán sujetos a regulación jurídica diferen</w:t>
      </w:r>
      <w:r w:rsidR="00D51B39" w:rsidRPr="00D51B39">
        <w:rPr>
          <w:rFonts w:ascii="Arial" w:hAnsi="Arial" w:cs="Arial"/>
          <w:lang w:val="es-UY"/>
        </w:rPr>
        <w:t xml:space="preserve">cial como consecuencia </w:t>
      </w:r>
      <w:r w:rsidRPr="00D51B39">
        <w:rPr>
          <w:rFonts w:ascii="Arial" w:hAnsi="Arial" w:cs="Arial"/>
          <w:lang w:val="es-UY"/>
        </w:rPr>
        <w:t xml:space="preserve"> del medio de contratación utilizado.-</w:t>
      </w:r>
    </w:p>
    <w:p w:rsidR="00D51B39" w:rsidRPr="00D51B39" w:rsidRDefault="00D51B39" w:rsidP="00624991">
      <w:pPr>
        <w:spacing w:before="100" w:beforeAutospacing="1" w:after="100" w:afterAutospacing="1"/>
        <w:jc w:val="both"/>
        <w:rPr>
          <w:rFonts w:ascii="Arial" w:hAnsi="Arial" w:cs="Arial"/>
          <w:lang w:val="es-AR"/>
        </w:rPr>
      </w:pPr>
      <w:r w:rsidRPr="00D51B39">
        <w:rPr>
          <w:rFonts w:ascii="Arial" w:hAnsi="Arial" w:cs="Arial"/>
          <w:lang w:val="es-AR"/>
        </w:rPr>
        <w:t xml:space="preserve">B) </w:t>
      </w:r>
      <w:r w:rsidRPr="00D51B39">
        <w:rPr>
          <w:rFonts w:ascii="Arial" w:hAnsi="Arial" w:cs="Arial"/>
          <w:lang w:val="es-AR"/>
        </w:rPr>
        <w:tab/>
      </w:r>
      <w:proofErr w:type="spellStart"/>
      <w:r w:rsidRPr="00D51B39">
        <w:rPr>
          <w:rFonts w:ascii="Arial" w:hAnsi="Arial" w:cs="Arial"/>
          <w:lang w:val="es-AR"/>
        </w:rPr>
        <w:t>Inalteración</w:t>
      </w:r>
      <w:proofErr w:type="spellEnd"/>
      <w:r w:rsidRPr="00D51B39">
        <w:rPr>
          <w:rFonts w:ascii="Arial" w:hAnsi="Arial" w:cs="Arial"/>
          <w:lang w:val="es-AR"/>
        </w:rPr>
        <w:t xml:space="preserve"> del derecho preexistente: considerándose los servicios como equivalentes, se aplicará a los servicios contratados por medios electrónicos la misma regulación jurídica que a los contratados por cualquier otro medio.</w:t>
      </w:r>
    </w:p>
    <w:p w:rsidR="005028C3" w:rsidRDefault="00D51B39" w:rsidP="00624991">
      <w:pPr>
        <w:spacing w:before="100" w:beforeAutospacing="1" w:after="100" w:afterAutospacing="1"/>
        <w:jc w:val="both"/>
        <w:rPr>
          <w:rFonts w:ascii="Arial" w:hAnsi="Arial" w:cs="Arial"/>
          <w:color w:val="FF0000"/>
          <w:lang w:val="es-UY"/>
        </w:rPr>
      </w:pPr>
      <w:r>
        <w:rPr>
          <w:rFonts w:ascii="Arial" w:hAnsi="Arial" w:cs="Arial"/>
          <w:lang w:val="es-UY"/>
        </w:rPr>
        <w:t>C</w:t>
      </w:r>
      <w:r w:rsidR="00624991" w:rsidRPr="00B5248E">
        <w:rPr>
          <w:rFonts w:ascii="Arial" w:hAnsi="Arial" w:cs="Arial"/>
          <w:lang w:val="es-UY"/>
        </w:rPr>
        <w:t xml:space="preserve">) </w:t>
      </w:r>
      <w:r w:rsidR="00624991" w:rsidRPr="005B7330">
        <w:rPr>
          <w:rFonts w:ascii="Arial" w:hAnsi="Arial" w:cs="Arial"/>
          <w:lang w:val="es-UY"/>
        </w:rPr>
        <w:t>Libre competencia: Aplicarán los principios de eficiencia, no discriminación regulatoria, ausencia de requisitos injustificados o barreras a la entrada que impidan el ingreso de nuevos agentes al mercado o que establezcan obstáculos para el desarroll</w:t>
      </w:r>
      <w:r w:rsidR="00D45532" w:rsidRPr="005B7330">
        <w:rPr>
          <w:rFonts w:ascii="Arial" w:hAnsi="Arial" w:cs="Arial"/>
          <w:lang w:val="es-UY"/>
        </w:rPr>
        <w:t>o de nuevos modelos de negocios</w:t>
      </w:r>
      <w:r w:rsidR="005028C3">
        <w:rPr>
          <w:rFonts w:ascii="Arial" w:hAnsi="Arial" w:cs="Arial"/>
          <w:lang w:val="es-UY"/>
        </w:rPr>
        <w:t>.</w:t>
      </w:r>
      <w:r w:rsidR="00D45532" w:rsidRPr="005B7330">
        <w:rPr>
          <w:rFonts w:ascii="Arial" w:hAnsi="Arial" w:cs="Arial"/>
          <w:lang w:val="es-UY"/>
        </w:rPr>
        <w:t xml:space="preserve"> </w:t>
      </w:r>
    </w:p>
    <w:p w:rsidR="00D45532" w:rsidRPr="00D45532" w:rsidRDefault="00D45532" w:rsidP="00624991">
      <w:pPr>
        <w:spacing w:before="100" w:beforeAutospacing="1" w:after="100" w:afterAutospacing="1"/>
        <w:jc w:val="both"/>
        <w:rPr>
          <w:rFonts w:ascii="Arial" w:hAnsi="Arial" w:cs="Arial"/>
          <w:lang w:val="es-AR"/>
        </w:rPr>
      </w:pPr>
      <w:r w:rsidRPr="00D45532">
        <w:rPr>
          <w:rFonts w:ascii="Arial" w:hAnsi="Arial" w:cs="Arial"/>
          <w:lang w:val="es-AR"/>
        </w:rPr>
        <w:t>Sin perjuicio de lo dispuesto en el Título Preliminar del Código Civil, estos principios generales servirán también de criterio interpretativo para resolver las cuestiones que puedan suscitarse en la aplicación de las disposiciones pertinentes.</w:t>
      </w:r>
    </w:p>
    <w:p w:rsidR="00624991" w:rsidRDefault="00624991" w:rsidP="00C022F0">
      <w:pPr>
        <w:spacing w:before="100" w:beforeAutospacing="1" w:after="100" w:afterAutospacing="1" w:line="276" w:lineRule="auto"/>
        <w:jc w:val="both"/>
        <w:rPr>
          <w:rFonts w:ascii="Arial" w:hAnsi="Arial" w:cs="Arial"/>
          <w:lang w:val="es-AR"/>
        </w:rPr>
      </w:pPr>
      <w:r w:rsidRPr="00B5248E">
        <w:rPr>
          <w:rFonts w:ascii="Arial" w:hAnsi="Arial" w:cs="Arial"/>
          <w:lang w:val="es-UY"/>
        </w:rPr>
        <w:t>ARTÍCULO 4°.-</w:t>
      </w:r>
      <w:r w:rsidR="00C022F0">
        <w:rPr>
          <w:rFonts w:ascii="Arial" w:hAnsi="Arial" w:cs="Arial"/>
          <w:lang w:val="es-UY"/>
        </w:rPr>
        <w:t xml:space="preserve"> </w:t>
      </w:r>
      <w:r w:rsidRPr="00B5248E">
        <w:rPr>
          <w:rFonts w:ascii="Arial" w:hAnsi="Arial" w:cs="Arial"/>
          <w:lang w:val="es-AR"/>
        </w:rPr>
        <w:t>Las relaciones de trabajo o cualquier otro vínculo jurídico que se entable para la presentación de los servicios señalados en el artículo segundo, se regirán por todas las normas vigentes que les sean de aplicación, en particular las laborales, administrativas, previsionales y tributarias.</w:t>
      </w:r>
    </w:p>
    <w:p w:rsidR="007639FF" w:rsidRDefault="00624991" w:rsidP="00C022F0">
      <w:pPr>
        <w:spacing w:before="100" w:beforeAutospacing="1" w:after="100" w:afterAutospacing="1"/>
        <w:jc w:val="both"/>
        <w:rPr>
          <w:rFonts w:ascii="Arial" w:hAnsi="Arial" w:cs="Arial"/>
          <w:lang w:val="es-AR"/>
        </w:rPr>
      </w:pPr>
      <w:r w:rsidRPr="00B5248E">
        <w:rPr>
          <w:rFonts w:ascii="Arial" w:hAnsi="Arial" w:cs="Arial"/>
          <w:lang w:val="es-AR"/>
        </w:rPr>
        <w:t xml:space="preserve">ARTICULO 5.- </w:t>
      </w:r>
      <w:r w:rsidR="00C022F0">
        <w:rPr>
          <w:rFonts w:ascii="Arial" w:hAnsi="Arial" w:cs="Arial"/>
          <w:lang w:val="es-AR"/>
        </w:rPr>
        <w:t xml:space="preserve"> </w:t>
      </w:r>
      <w:r w:rsidR="007639FF" w:rsidRPr="00B5248E">
        <w:rPr>
          <w:rFonts w:ascii="Arial" w:hAnsi="Arial" w:cs="Arial"/>
          <w:lang w:val="es-AR"/>
        </w:rPr>
        <w:t xml:space="preserve">Los </w:t>
      </w:r>
      <w:r w:rsidR="001A1AB1">
        <w:rPr>
          <w:rFonts w:ascii="Arial" w:hAnsi="Arial" w:cs="Arial"/>
          <w:lang w:val="es-AR"/>
        </w:rPr>
        <w:t xml:space="preserve">órganos del Estado </w:t>
      </w:r>
      <w:r w:rsidR="001A1AB1">
        <w:rPr>
          <w:rFonts w:ascii="Arial" w:hAnsi="Arial" w:cs="Arial"/>
          <w:color w:val="FF0000"/>
          <w:lang w:val="es-AR"/>
        </w:rPr>
        <w:t>con</w:t>
      </w:r>
      <w:r w:rsidR="007639FF" w:rsidRPr="00B5248E">
        <w:rPr>
          <w:rFonts w:ascii="Arial" w:hAnsi="Arial" w:cs="Arial"/>
          <w:lang w:val="es-AR"/>
        </w:rPr>
        <w:t xml:space="preserve"> competencia en materia de contralor de las actividades enunciadas deberán ejercer, tal como lo disponen las normas que los rigen, los poderes jurídicos que le sean propios, para fiscalizar el efectivo cumplimiento de las obligaciones laborales, administrativas, de seguridad social, tributarias y cualesquiera otras a las que se encuentren sujetos los prestadores de los servicios o las actividades desarrolladas por estos.</w:t>
      </w:r>
    </w:p>
    <w:p w:rsidR="008573A2" w:rsidRDefault="007639FF" w:rsidP="001A1AB1">
      <w:pPr>
        <w:spacing w:before="100" w:beforeAutospacing="1" w:after="100" w:afterAutospacing="1" w:line="276" w:lineRule="auto"/>
        <w:jc w:val="both"/>
        <w:rPr>
          <w:rFonts w:ascii="Arial" w:hAnsi="Arial" w:cs="Arial"/>
          <w:lang w:val="es-AR"/>
        </w:rPr>
      </w:pPr>
      <w:r w:rsidRPr="00B5248E">
        <w:rPr>
          <w:rFonts w:ascii="Arial" w:hAnsi="Arial" w:cs="Arial"/>
          <w:lang w:val="es-AR"/>
        </w:rPr>
        <w:t>ARTICULO 6°</w:t>
      </w:r>
      <w:r w:rsidR="00C022F0">
        <w:rPr>
          <w:rFonts w:ascii="Arial" w:hAnsi="Arial" w:cs="Arial"/>
          <w:lang w:val="es-AR"/>
        </w:rPr>
        <w:t>.- S</w:t>
      </w:r>
      <w:r w:rsidRPr="00B5248E">
        <w:rPr>
          <w:rFonts w:ascii="Arial" w:hAnsi="Arial" w:cs="Arial"/>
          <w:lang w:val="es-AR"/>
        </w:rPr>
        <w:t xml:space="preserve">in perjuicio de los requisitos que en materia de información se establecen en la normativa específica vigente para cada tipo de actividad, los titulares </w:t>
      </w:r>
      <w:r w:rsidRPr="00B5248E">
        <w:rPr>
          <w:rFonts w:ascii="Arial" w:hAnsi="Arial" w:cs="Arial"/>
          <w:lang w:val="es-AR"/>
        </w:rPr>
        <w:lastRenderedPageBreak/>
        <w:t xml:space="preserve">de las plataformas informáticas de intermediación objeto de la presente ley, estarán obligados a disponer, </w:t>
      </w:r>
      <w:r w:rsidRPr="00D45532">
        <w:rPr>
          <w:rFonts w:ascii="Arial" w:hAnsi="Arial" w:cs="Arial"/>
          <w:lang w:val="es-AR"/>
        </w:rPr>
        <w:t>por los mismos medios electrónicos de prestación del servicio</w:t>
      </w:r>
      <w:r w:rsidR="00875B17">
        <w:rPr>
          <w:rFonts w:ascii="Arial" w:hAnsi="Arial" w:cs="Arial"/>
          <w:lang w:val="es-AR"/>
        </w:rPr>
        <w:t xml:space="preserve">, </w:t>
      </w:r>
      <w:r w:rsidRPr="00B5248E">
        <w:rPr>
          <w:rFonts w:ascii="Arial" w:hAnsi="Arial" w:cs="Arial"/>
          <w:lang w:val="es-AR"/>
        </w:rPr>
        <w:t xml:space="preserve"> de forma permanente, fácil, directa y gratuita, tanto a los destinatarios del servicio de que se trate como a los órganos competentes, el adecuado acceso a la información que establezca la reglamentación</w:t>
      </w:r>
      <w:r w:rsidR="008573A2" w:rsidRPr="00B5248E">
        <w:rPr>
          <w:rFonts w:ascii="Arial" w:hAnsi="Arial" w:cs="Arial"/>
          <w:lang w:val="es-AR"/>
        </w:rPr>
        <w:t>.-</w:t>
      </w:r>
    </w:p>
    <w:p w:rsidR="00D45532" w:rsidRDefault="00D45532" w:rsidP="001A1AB1">
      <w:pPr>
        <w:spacing w:before="100" w:beforeAutospacing="1" w:after="100" w:afterAutospacing="1" w:line="276" w:lineRule="auto"/>
        <w:jc w:val="both"/>
        <w:rPr>
          <w:rFonts w:ascii="Arial" w:hAnsi="Arial" w:cs="Arial"/>
          <w:lang w:val="es-AR"/>
        </w:rPr>
      </w:pPr>
      <w:r>
        <w:rPr>
          <w:rFonts w:ascii="Arial" w:hAnsi="Arial" w:cs="Arial"/>
          <w:lang w:val="es-AR"/>
        </w:rPr>
        <w:t>Esta última tendrá especialmente en cuenta</w:t>
      </w:r>
      <w:r w:rsidRPr="00D45532">
        <w:rPr>
          <w:rFonts w:ascii="Arial" w:hAnsi="Arial" w:cs="Arial"/>
          <w:lang w:val="es-AR"/>
        </w:rPr>
        <w:t xml:space="preserve"> </w:t>
      </w:r>
      <w:r w:rsidRPr="00B5248E">
        <w:rPr>
          <w:rFonts w:ascii="Arial" w:hAnsi="Arial" w:cs="Arial"/>
          <w:lang w:val="es-AR"/>
        </w:rPr>
        <w:t>las garantías para los destinatarios del servicio de que se trate, las características técnicas y las herramientas para que los órganos del Estado puedan ejercer sus competencias</w:t>
      </w:r>
      <w:r>
        <w:rPr>
          <w:rFonts w:ascii="Arial" w:hAnsi="Arial" w:cs="Arial"/>
          <w:lang w:val="es-AR"/>
        </w:rPr>
        <w:t>.-</w:t>
      </w:r>
    </w:p>
    <w:p w:rsidR="003C3A9F" w:rsidRPr="005B7330" w:rsidRDefault="003C3A9F" w:rsidP="005B7330">
      <w:pPr>
        <w:pStyle w:val="NormalWeb"/>
        <w:spacing w:after="0" w:afterAutospacing="0" w:line="276" w:lineRule="auto"/>
        <w:jc w:val="both"/>
        <w:rPr>
          <w:rFonts w:ascii="Arial" w:hAnsi="Arial" w:cs="Arial"/>
          <w:lang w:val="es-AR"/>
        </w:rPr>
      </w:pPr>
      <w:proofErr w:type="gramStart"/>
      <w:r w:rsidRPr="00B5248E">
        <w:rPr>
          <w:rFonts w:ascii="Arial" w:hAnsi="Arial" w:cs="Arial"/>
          <w:lang w:val="es-UY"/>
        </w:rPr>
        <w:t>ARTICULO</w:t>
      </w:r>
      <w:proofErr w:type="gramEnd"/>
      <w:r w:rsidRPr="00B5248E">
        <w:rPr>
          <w:rFonts w:ascii="Arial" w:hAnsi="Arial" w:cs="Arial"/>
          <w:lang w:val="es-UY"/>
        </w:rPr>
        <w:t xml:space="preserve"> 7.- </w:t>
      </w:r>
      <w:r w:rsidR="005B7330" w:rsidRPr="00C022F0">
        <w:rPr>
          <w:rFonts w:ascii="Arial" w:hAnsi="Arial" w:cs="Arial"/>
          <w:lang w:val="es-AR"/>
        </w:rPr>
        <w:t>Los órganos estatales referidos en el artículo quinto deberán comunicar a la Justicia competente cualquier incumplimiento en el que incurran los sujetos pasivos previstos por esta ley, en un plazo de tres días hábiles desde que haya quedado ejecutoriada la resolución del procedimiento administrativo que entendió configurado el incumplimiento. En esa comunicación, deberán promover que se dispongan por el Magistrado las medidas que entienda pertinentes, tales como el bloqueo de las transferencias de fondos o la imposibilidad de concretar cualquier otra operación, desde y hacia las cuentas bancarias de los incumplidores. Estas medidas serán dispuestas por el Juez en los plazos que establecen las normas procesales, y en la forma prevista por los artículos 311 y siguientes del Código General del Proceso (medidas cautelares). En caso de que el Juez disponga el bloqueo de las cuentas, o cualquier otra medida que así lo requiera, ordenará su instrumentación al Banco Central del Uruguay, para que este la haga efectiva inmediatamente. Los sujetos pasivos afectados por la decisión judicial mencionada precedentemente, podrán recurrirla, con los medios impugnativos que al efecto establecen las normas procesales.</w:t>
      </w:r>
    </w:p>
    <w:p w:rsidR="00401030" w:rsidRPr="00401030" w:rsidRDefault="00401030" w:rsidP="005B7330">
      <w:pPr>
        <w:pStyle w:val="NormalWeb"/>
        <w:spacing w:after="0" w:afterAutospacing="0" w:line="276" w:lineRule="auto"/>
        <w:jc w:val="both"/>
        <w:rPr>
          <w:rFonts w:ascii="Arial" w:hAnsi="Arial" w:cs="Arial"/>
          <w:color w:val="1F497D" w:themeColor="text2"/>
          <w:lang w:val="es-AR"/>
        </w:rPr>
      </w:pPr>
      <w:bookmarkStart w:id="0" w:name="_GoBack"/>
      <w:bookmarkEnd w:id="0"/>
    </w:p>
    <w:sectPr w:rsidR="00401030" w:rsidRPr="00401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428CE"/>
    <w:multiLevelType w:val="hybridMultilevel"/>
    <w:tmpl w:val="A21C7530"/>
    <w:lvl w:ilvl="0" w:tplc="380A0019">
      <w:start w:val="1"/>
      <w:numFmt w:val="lowerLetter"/>
      <w:lvlText w:val="%1."/>
      <w:lvlJc w:val="left"/>
      <w:pPr>
        <w:ind w:left="644" w:hanging="360"/>
      </w:pPr>
      <w:rPr>
        <w:rFonts w:hint="default"/>
      </w:rPr>
    </w:lvl>
    <w:lvl w:ilvl="1" w:tplc="380A0019" w:tentative="1">
      <w:start w:val="1"/>
      <w:numFmt w:val="lowerLetter"/>
      <w:lvlText w:val="%2."/>
      <w:lvlJc w:val="left"/>
      <w:pPr>
        <w:ind w:left="1364" w:hanging="360"/>
      </w:pPr>
    </w:lvl>
    <w:lvl w:ilvl="2" w:tplc="380A001B" w:tentative="1">
      <w:start w:val="1"/>
      <w:numFmt w:val="lowerRoman"/>
      <w:lvlText w:val="%3."/>
      <w:lvlJc w:val="right"/>
      <w:pPr>
        <w:ind w:left="2084" w:hanging="180"/>
      </w:pPr>
    </w:lvl>
    <w:lvl w:ilvl="3" w:tplc="380A000F" w:tentative="1">
      <w:start w:val="1"/>
      <w:numFmt w:val="decimal"/>
      <w:lvlText w:val="%4."/>
      <w:lvlJc w:val="left"/>
      <w:pPr>
        <w:ind w:left="2804" w:hanging="360"/>
      </w:pPr>
    </w:lvl>
    <w:lvl w:ilvl="4" w:tplc="380A0019" w:tentative="1">
      <w:start w:val="1"/>
      <w:numFmt w:val="lowerLetter"/>
      <w:lvlText w:val="%5."/>
      <w:lvlJc w:val="left"/>
      <w:pPr>
        <w:ind w:left="3524" w:hanging="360"/>
      </w:pPr>
    </w:lvl>
    <w:lvl w:ilvl="5" w:tplc="380A001B" w:tentative="1">
      <w:start w:val="1"/>
      <w:numFmt w:val="lowerRoman"/>
      <w:lvlText w:val="%6."/>
      <w:lvlJc w:val="right"/>
      <w:pPr>
        <w:ind w:left="4244" w:hanging="180"/>
      </w:pPr>
    </w:lvl>
    <w:lvl w:ilvl="6" w:tplc="380A000F" w:tentative="1">
      <w:start w:val="1"/>
      <w:numFmt w:val="decimal"/>
      <w:lvlText w:val="%7."/>
      <w:lvlJc w:val="left"/>
      <w:pPr>
        <w:ind w:left="4964" w:hanging="360"/>
      </w:pPr>
    </w:lvl>
    <w:lvl w:ilvl="7" w:tplc="380A0019" w:tentative="1">
      <w:start w:val="1"/>
      <w:numFmt w:val="lowerLetter"/>
      <w:lvlText w:val="%8."/>
      <w:lvlJc w:val="left"/>
      <w:pPr>
        <w:ind w:left="5684" w:hanging="360"/>
      </w:pPr>
    </w:lvl>
    <w:lvl w:ilvl="8" w:tplc="38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91"/>
    <w:rsid w:val="00093BFA"/>
    <w:rsid w:val="000C4885"/>
    <w:rsid w:val="000E6AB1"/>
    <w:rsid w:val="00133A75"/>
    <w:rsid w:val="001469A5"/>
    <w:rsid w:val="00182DBD"/>
    <w:rsid w:val="001A1AB1"/>
    <w:rsid w:val="001D1FFA"/>
    <w:rsid w:val="0020726C"/>
    <w:rsid w:val="0021152C"/>
    <w:rsid w:val="00294CB2"/>
    <w:rsid w:val="002A1B8C"/>
    <w:rsid w:val="002A7F73"/>
    <w:rsid w:val="002E1500"/>
    <w:rsid w:val="002F4F6D"/>
    <w:rsid w:val="00327480"/>
    <w:rsid w:val="003468C0"/>
    <w:rsid w:val="003B37A0"/>
    <w:rsid w:val="003C3A9F"/>
    <w:rsid w:val="003C73DA"/>
    <w:rsid w:val="00401030"/>
    <w:rsid w:val="004459B1"/>
    <w:rsid w:val="004559F4"/>
    <w:rsid w:val="00486E61"/>
    <w:rsid w:val="00497421"/>
    <w:rsid w:val="005028C3"/>
    <w:rsid w:val="0056390E"/>
    <w:rsid w:val="0057582C"/>
    <w:rsid w:val="005B7330"/>
    <w:rsid w:val="00604CEF"/>
    <w:rsid w:val="00624991"/>
    <w:rsid w:val="007067C6"/>
    <w:rsid w:val="007438E6"/>
    <w:rsid w:val="00746393"/>
    <w:rsid w:val="007618ED"/>
    <w:rsid w:val="007639FF"/>
    <w:rsid w:val="007A73FB"/>
    <w:rsid w:val="007D675D"/>
    <w:rsid w:val="008573A2"/>
    <w:rsid w:val="00875B17"/>
    <w:rsid w:val="008F2F63"/>
    <w:rsid w:val="008F4EC3"/>
    <w:rsid w:val="0097488F"/>
    <w:rsid w:val="009A54BF"/>
    <w:rsid w:val="009A5864"/>
    <w:rsid w:val="009F5AEC"/>
    <w:rsid w:val="00AB44E7"/>
    <w:rsid w:val="00AD181F"/>
    <w:rsid w:val="00B15AAD"/>
    <w:rsid w:val="00B17475"/>
    <w:rsid w:val="00B25039"/>
    <w:rsid w:val="00B5248E"/>
    <w:rsid w:val="00B95089"/>
    <w:rsid w:val="00B96563"/>
    <w:rsid w:val="00BA57A1"/>
    <w:rsid w:val="00C022F0"/>
    <w:rsid w:val="00C17A35"/>
    <w:rsid w:val="00C3427E"/>
    <w:rsid w:val="00C35607"/>
    <w:rsid w:val="00C45A67"/>
    <w:rsid w:val="00C5301D"/>
    <w:rsid w:val="00CB655F"/>
    <w:rsid w:val="00D35BBF"/>
    <w:rsid w:val="00D45532"/>
    <w:rsid w:val="00D51B39"/>
    <w:rsid w:val="00DD3156"/>
    <w:rsid w:val="00E06AE1"/>
    <w:rsid w:val="00E4408B"/>
    <w:rsid w:val="00E85784"/>
    <w:rsid w:val="00EA6905"/>
    <w:rsid w:val="00EB6447"/>
    <w:rsid w:val="00F308A7"/>
    <w:rsid w:val="00F34FA3"/>
    <w:rsid w:val="00F9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93E71-430B-4F79-8A89-120EEC0A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91"/>
    <w:pPr>
      <w:spacing w:after="0" w:line="240" w:lineRule="auto"/>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24991"/>
    <w:pPr>
      <w:spacing w:before="100" w:beforeAutospacing="1" w:after="100" w:afterAutospacing="1"/>
    </w:pPr>
  </w:style>
  <w:style w:type="paragraph" w:customStyle="1" w:styleId="Dact00">
    <w:name w:val="Dact_00"/>
    <w:basedOn w:val="Normal"/>
    <w:rsid w:val="00182DBD"/>
    <w:pPr>
      <w:widowControl w:val="0"/>
      <w:tabs>
        <w:tab w:val="left" w:pos="567"/>
      </w:tabs>
      <w:spacing w:after="120"/>
      <w:jc w:val="both"/>
    </w:pPr>
    <w:rPr>
      <w:rFonts w:ascii="Arial" w:eastAsia="Times New Roman" w:hAnsi="Arial"/>
      <w:snapToGrid w:val="0"/>
      <w:lang w:val="es-ES_tradnl" w:eastAsia="es-ES"/>
    </w:rPr>
  </w:style>
  <w:style w:type="table" w:styleId="Tablaconcuadrcula">
    <w:name w:val="Table Grid"/>
    <w:basedOn w:val="Tablanormal"/>
    <w:uiPriority w:val="39"/>
    <w:rsid w:val="00182DBD"/>
    <w:pPr>
      <w:spacing w:after="0" w:line="240" w:lineRule="auto"/>
    </w:pPr>
    <w:rPr>
      <w:lang w:val="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5607"/>
    <w:pPr>
      <w:ind w:left="720"/>
      <w:contextualSpacing/>
    </w:pPr>
  </w:style>
  <w:style w:type="paragraph" w:styleId="Textodeglobo">
    <w:name w:val="Balloon Text"/>
    <w:basedOn w:val="Normal"/>
    <w:link w:val="TextodegloboCar"/>
    <w:uiPriority w:val="99"/>
    <w:semiHidden/>
    <w:unhideWhenUsed/>
    <w:rsid w:val="002115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rabelenda</cp:lastModifiedBy>
  <cp:revision>2</cp:revision>
  <cp:lastPrinted>2016-11-11T12:34:00Z</cp:lastPrinted>
  <dcterms:created xsi:type="dcterms:W3CDTF">2016-11-15T21:25:00Z</dcterms:created>
  <dcterms:modified xsi:type="dcterms:W3CDTF">2016-11-15T21:25:00Z</dcterms:modified>
</cp:coreProperties>
</file>