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186" w:rsidRDefault="005F5186" w:rsidP="00072335">
      <w:pPr>
        <w:spacing w:after="0" w:line="240" w:lineRule="auto"/>
        <w:jc w:val="center"/>
        <w:rPr>
          <w:rFonts w:ascii="Arial" w:hAnsi="Arial" w:cs="Arial"/>
          <w:b/>
          <w:sz w:val="24"/>
          <w:szCs w:val="24"/>
          <w:u w:val="single"/>
        </w:rPr>
      </w:pPr>
    </w:p>
    <w:p w:rsidR="00072335" w:rsidRDefault="00072335" w:rsidP="00072335">
      <w:pPr>
        <w:spacing w:after="0" w:line="240" w:lineRule="auto"/>
        <w:jc w:val="center"/>
        <w:rPr>
          <w:rFonts w:ascii="Arial" w:hAnsi="Arial" w:cs="Arial"/>
          <w:b/>
          <w:sz w:val="24"/>
          <w:szCs w:val="24"/>
          <w:u w:val="single"/>
        </w:rPr>
      </w:pPr>
      <w:r>
        <w:rPr>
          <w:rFonts w:ascii="Arial" w:hAnsi="Arial" w:cs="Arial"/>
          <w:b/>
          <w:sz w:val="24"/>
          <w:szCs w:val="24"/>
          <w:u w:val="single"/>
        </w:rPr>
        <w:t>PROYECTO DE LEY</w:t>
      </w:r>
    </w:p>
    <w:p w:rsidR="00072335" w:rsidRPr="00072335" w:rsidRDefault="00072335" w:rsidP="00072335">
      <w:pPr>
        <w:spacing w:after="0" w:line="240" w:lineRule="auto"/>
        <w:jc w:val="center"/>
        <w:rPr>
          <w:rFonts w:ascii="Arial" w:hAnsi="Arial" w:cs="Arial"/>
          <w:b/>
          <w:sz w:val="24"/>
          <w:szCs w:val="24"/>
          <w:u w:val="single"/>
        </w:rPr>
      </w:pPr>
    </w:p>
    <w:p w:rsidR="00072335" w:rsidRDefault="00072335" w:rsidP="00072335">
      <w:pPr>
        <w:spacing w:after="0" w:line="240" w:lineRule="auto"/>
        <w:jc w:val="both"/>
        <w:rPr>
          <w:rFonts w:ascii="Arial" w:hAnsi="Arial" w:cs="Arial"/>
          <w:b/>
          <w:sz w:val="24"/>
          <w:szCs w:val="24"/>
        </w:rPr>
      </w:pPr>
    </w:p>
    <w:p w:rsidR="00072335" w:rsidRDefault="00072335" w:rsidP="00072335">
      <w:pPr>
        <w:spacing w:after="0" w:line="240" w:lineRule="auto"/>
        <w:jc w:val="both"/>
        <w:rPr>
          <w:rFonts w:ascii="Arial" w:hAnsi="Arial" w:cs="Arial"/>
          <w:sz w:val="24"/>
          <w:szCs w:val="24"/>
        </w:rPr>
      </w:pPr>
      <w:r w:rsidRPr="00AA3C89">
        <w:rPr>
          <w:rFonts w:ascii="Arial" w:hAnsi="Arial" w:cs="Arial"/>
          <w:b/>
          <w:sz w:val="24"/>
          <w:szCs w:val="24"/>
        </w:rPr>
        <w:t>Artículo 1.</w:t>
      </w:r>
      <w:r w:rsidRPr="00AA3C89">
        <w:rPr>
          <w:rFonts w:ascii="Arial" w:hAnsi="Arial" w:cs="Arial"/>
          <w:sz w:val="24"/>
          <w:szCs w:val="24"/>
        </w:rPr>
        <w:t xml:space="preserve"> Créase el </w:t>
      </w:r>
      <w:bookmarkStart w:id="0" w:name="_Hlk36224934"/>
      <w:r w:rsidRPr="00AA3C89">
        <w:rPr>
          <w:rFonts w:ascii="Arial" w:hAnsi="Arial" w:cs="Arial"/>
          <w:sz w:val="24"/>
          <w:szCs w:val="24"/>
        </w:rPr>
        <w:t xml:space="preserve">“Fondo </w:t>
      </w:r>
      <w:r w:rsidR="009F49FB" w:rsidRPr="00AA3C89">
        <w:rPr>
          <w:rFonts w:ascii="Arial" w:hAnsi="Arial" w:cs="Arial"/>
          <w:sz w:val="24"/>
          <w:szCs w:val="24"/>
        </w:rPr>
        <w:t>Solidario COVI</w:t>
      </w:r>
      <w:r w:rsidR="008A1227">
        <w:rPr>
          <w:rFonts w:ascii="Arial" w:hAnsi="Arial" w:cs="Arial"/>
          <w:sz w:val="24"/>
          <w:szCs w:val="24"/>
        </w:rPr>
        <w:t>D</w:t>
      </w:r>
      <w:r w:rsidR="009F49FB" w:rsidRPr="00AA3C89">
        <w:rPr>
          <w:rFonts w:ascii="Arial" w:hAnsi="Arial" w:cs="Arial"/>
          <w:sz w:val="24"/>
          <w:szCs w:val="24"/>
        </w:rPr>
        <w:t>-19</w:t>
      </w:r>
      <w:r w:rsidRPr="00AA3C89">
        <w:rPr>
          <w:rFonts w:ascii="Arial" w:hAnsi="Arial" w:cs="Arial"/>
          <w:sz w:val="24"/>
          <w:szCs w:val="24"/>
        </w:rPr>
        <w:t xml:space="preserve">” </w:t>
      </w:r>
      <w:bookmarkEnd w:id="0"/>
      <w:r w:rsidRPr="00AA3C89">
        <w:rPr>
          <w:rFonts w:ascii="Arial" w:hAnsi="Arial" w:cs="Arial"/>
          <w:sz w:val="24"/>
          <w:szCs w:val="24"/>
        </w:rPr>
        <w:t>destinado a atender en forma exclusiva las erogaciones provenientes de:</w:t>
      </w:r>
    </w:p>
    <w:p w:rsidR="00C47397" w:rsidRDefault="00C47397" w:rsidP="00C47397">
      <w:pPr>
        <w:numPr>
          <w:ilvl w:val="0"/>
          <w:numId w:val="1"/>
        </w:numPr>
        <w:spacing w:after="0" w:line="240" w:lineRule="auto"/>
        <w:jc w:val="both"/>
        <w:rPr>
          <w:rFonts w:ascii="Arial" w:hAnsi="Arial" w:cs="Arial"/>
          <w:sz w:val="24"/>
          <w:szCs w:val="24"/>
        </w:rPr>
      </w:pPr>
      <w:r w:rsidRPr="00AA3C89">
        <w:rPr>
          <w:rFonts w:ascii="Arial" w:hAnsi="Arial" w:cs="Arial"/>
          <w:sz w:val="24"/>
          <w:szCs w:val="24"/>
        </w:rPr>
        <w:t>Toda ac</w:t>
      </w:r>
      <w:r>
        <w:rPr>
          <w:rFonts w:ascii="Arial" w:hAnsi="Arial" w:cs="Arial"/>
          <w:sz w:val="24"/>
          <w:szCs w:val="24"/>
        </w:rPr>
        <w:t>tividad</w:t>
      </w:r>
      <w:r w:rsidRPr="00AA3C89">
        <w:rPr>
          <w:rFonts w:ascii="Arial" w:hAnsi="Arial" w:cs="Arial"/>
          <w:sz w:val="24"/>
          <w:szCs w:val="24"/>
        </w:rPr>
        <w:t xml:space="preserve"> estatal destinada a la protección de la población </w:t>
      </w:r>
      <w:r>
        <w:rPr>
          <w:rFonts w:ascii="Arial" w:hAnsi="Arial" w:cs="Arial"/>
          <w:sz w:val="24"/>
          <w:szCs w:val="24"/>
        </w:rPr>
        <w:t xml:space="preserve">frente </w:t>
      </w:r>
      <w:r w:rsidRPr="00AA3C89">
        <w:rPr>
          <w:rFonts w:ascii="Arial" w:hAnsi="Arial" w:cs="Arial"/>
          <w:sz w:val="24"/>
          <w:szCs w:val="24"/>
        </w:rPr>
        <w:t>a la emergencia</w:t>
      </w:r>
      <w:r>
        <w:rPr>
          <w:rFonts w:ascii="Arial" w:hAnsi="Arial" w:cs="Arial"/>
          <w:sz w:val="24"/>
          <w:szCs w:val="24"/>
        </w:rPr>
        <w:t xml:space="preserve"> sanitaria nacional</w:t>
      </w:r>
      <w:r w:rsidRPr="00AA3C89">
        <w:rPr>
          <w:rFonts w:ascii="Arial" w:hAnsi="Arial" w:cs="Arial"/>
          <w:sz w:val="24"/>
          <w:szCs w:val="24"/>
        </w:rPr>
        <w:t xml:space="preserve">. </w:t>
      </w:r>
    </w:p>
    <w:p w:rsidR="00C47397" w:rsidRPr="00C47397" w:rsidRDefault="00C47397" w:rsidP="00C47397">
      <w:pPr>
        <w:numPr>
          <w:ilvl w:val="0"/>
          <w:numId w:val="1"/>
        </w:numPr>
        <w:spacing w:after="0" w:line="240" w:lineRule="auto"/>
        <w:jc w:val="both"/>
        <w:rPr>
          <w:rFonts w:ascii="Arial" w:hAnsi="Arial" w:cs="Arial"/>
          <w:sz w:val="24"/>
          <w:szCs w:val="24"/>
        </w:rPr>
      </w:pPr>
      <w:r w:rsidRPr="00AA3C89">
        <w:rPr>
          <w:rFonts w:ascii="Arial" w:hAnsi="Arial" w:cs="Arial"/>
          <w:sz w:val="24"/>
          <w:szCs w:val="24"/>
        </w:rPr>
        <w:t>Las erogaciones que deba atender el Ministerio de Salud Pública y demás prestadores públicos de la salud de manera directa o mediante ayudas y transferencias a los prestadores privados.</w:t>
      </w:r>
    </w:p>
    <w:p w:rsidR="00C47397" w:rsidRPr="00C47397" w:rsidRDefault="00C47397" w:rsidP="00C47397">
      <w:pPr>
        <w:numPr>
          <w:ilvl w:val="0"/>
          <w:numId w:val="1"/>
        </w:numPr>
        <w:spacing w:after="0" w:line="240" w:lineRule="auto"/>
        <w:jc w:val="both"/>
        <w:rPr>
          <w:rFonts w:ascii="Arial" w:hAnsi="Arial" w:cs="Arial"/>
          <w:sz w:val="24"/>
          <w:szCs w:val="24"/>
        </w:rPr>
      </w:pPr>
      <w:r w:rsidRPr="00AA3C89">
        <w:rPr>
          <w:rFonts w:ascii="Arial" w:hAnsi="Arial" w:cs="Arial"/>
          <w:sz w:val="24"/>
          <w:szCs w:val="24"/>
        </w:rPr>
        <w:t>Las actividades de prevención, mitigación, atención y rehabilitación a cargo del Sistema Nacional de Emergencias, en el marco del estado de emergencia sanitaria declarado por el Poder Ejecutivo.</w:t>
      </w:r>
    </w:p>
    <w:p w:rsidR="00E56CE5" w:rsidRPr="00AA3C89" w:rsidRDefault="00072335" w:rsidP="00C47397">
      <w:pPr>
        <w:numPr>
          <w:ilvl w:val="0"/>
          <w:numId w:val="1"/>
        </w:numPr>
        <w:spacing w:after="0" w:line="240" w:lineRule="auto"/>
        <w:jc w:val="both"/>
        <w:rPr>
          <w:rFonts w:ascii="Arial" w:hAnsi="Arial" w:cs="Arial"/>
          <w:sz w:val="24"/>
          <w:szCs w:val="24"/>
        </w:rPr>
      </w:pPr>
      <w:r w:rsidRPr="00AA3C89">
        <w:rPr>
          <w:rFonts w:ascii="Arial" w:hAnsi="Arial" w:cs="Arial"/>
          <w:sz w:val="24"/>
          <w:szCs w:val="24"/>
        </w:rPr>
        <w:t xml:space="preserve">El pago de las prestaciones del Seguro por Enfermedad y </w:t>
      </w:r>
      <w:r w:rsidR="009F49FB" w:rsidRPr="00AA3C89">
        <w:rPr>
          <w:rFonts w:ascii="Arial" w:hAnsi="Arial" w:cs="Arial"/>
          <w:sz w:val="24"/>
          <w:szCs w:val="24"/>
        </w:rPr>
        <w:t>d</w:t>
      </w:r>
      <w:r w:rsidRPr="00AA3C89">
        <w:rPr>
          <w:rFonts w:ascii="Arial" w:hAnsi="Arial" w:cs="Arial"/>
          <w:sz w:val="24"/>
          <w:szCs w:val="24"/>
        </w:rPr>
        <w:t>el Seguro por Desempleo brindados por el Banco de Previsión Social, a causa de la emergencia sanitaria ocasionada por el COVID</w:t>
      </w:r>
      <w:r w:rsidR="00714336" w:rsidRPr="00AA3C89">
        <w:rPr>
          <w:rFonts w:ascii="Arial" w:hAnsi="Arial" w:cs="Arial"/>
          <w:sz w:val="24"/>
          <w:szCs w:val="24"/>
        </w:rPr>
        <w:t>-</w:t>
      </w:r>
      <w:r w:rsidRPr="00AA3C89">
        <w:rPr>
          <w:rFonts w:ascii="Arial" w:hAnsi="Arial" w:cs="Arial"/>
          <w:sz w:val="24"/>
          <w:szCs w:val="24"/>
        </w:rPr>
        <w:t>19 (coronavirus) desde el 13 de marzo de 2020</w:t>
      </w:r>
      <w:r w:rsidR="00714336" w:rsidRPr="00AA3C89">
        <w:rPr>
          <w:rFonts w:ascii="Arial" w:hAnsi="Arial" w:cs="Arial"/>
          <w:sz w:val="24"/>
          <w:szCs w:val="24"/>
        </w:rPr>
        <w:t>.</w:t>
      </w:r>
      <w:r w:rsidR="00C47397" w:rsidRPr="00AA3C89">
        <w:rPr>
          <w:rFonts w:ascii="Arial" w:hAnsi="Arial" w:cs="Arial"/>
          <w:sz w:val="24"/>
          <w:szCs w:val="24"/>
        </w:rPr>
        <w:t xml:space="preserve"> </w:t>
      </w:r>
    </w:p>
    <w:p w:rsidR="00072335" w:rsidRPr="00AA3C89" w:rsidRDefault="00072335" w:rsidP="00E56CE5">
      <w:pPr>
        <w:spacing w:after="0" w:line="240" w:lineRule="auto"/>
        <w:jc w:val="both"/>
        <w:rPr>
          <w:rFonts w:ascii="Arial" w:hAnsi="Arial" w:cs="Arial"/>
          <w:sz w:val="24"/>
          <w:szCs w:val="24"/>
        </w:rPr>
      </w:pPr>
      <w:r w:rsidRPr="00AA3C89">
        <w:rPr>
          <w:rFonts w:ascii="Arial" w:hAnsi="Arial" w:cs="Arial"/>
          <w:sz w:val="24"/>
          <w:szCs w:val="24"/>
        </w:rPr>
        <w:t xml:space="preserve">La titularidad de dicho Fondo, así como su </w:t>
      </w:r>
      <w:r w:rsidR="00E56CE5" w:rsidRPr="00AA3C89">
        <w:rPr>
          <w:rFonts w:ascii="Arial" w:hAnsi="Arial" w:cs="Arial"/>
          <w:sz w:val="24"/>
          <w:szCs w:val="24"/>
        </w:rPr>
        <w:t>a</w:t>
      </w:r>
      <w:r w:rsidRPr="00AA3C89">
        <w:rPr>
          <w:rFonts w:ascii="Arial" w:hAnsi="Arial" w:cs="Arial"/>
          <w:sz w:val="24"/>
          <w:szCs w:val="24"/>
        </w:rPr>
        <w:t xml:space="preserve">dministración </w:t>
      </w:r>
      <w:r w:rsidR="00680E03" w:rsidRPr="00AA3C89">
        <w:rPr>
          <w:rFonts w:ascii="Arial" w:hAnsi="Arial" w:cs="Arial"/>
          <w:sz w:val="24"/>
          <w:szCs w:val="24"/>
        </w:rPr>
        <w:t xml:space="preserve">estará a cargo del Poder Ejecutivo, a través del Ministerio </w:t>
      </w:r>
      <w:r w:rsidRPr="00AA3C89">
        <w:rPr>
          <w:rFonts w:ascii="Arial" w:hAnsi="Arial" w:cs="Arial"/>
          <w:sz w:val="24"/>
          <w:szCs w:val="24"/>
        </w:rPr>
        <w:t>de Economía y Finanzas.</w:t>
      </w:r>
    </w:p>
    <w:p w:rsidR="00E56CE5" w:rsidRPr="00AA3C89" w:rsidRDefault="00E56CE5" w:rsidP="00E56CE5">
      <w:pPr>
        <w:spacing w:after="0" w:line="240" w:lineRule="auto"/>
        <w:jc w:val="both"/>
        <w:rPr>
          <w:rFonts w:ascii="Arial" w:hAnsi="Arial" w:cs="Arial"/>
          <w:b/>
          <w:sz w:val="32"/>
          <w:szCs w:val="32"/>
          <w:u w:val="single"/>
        </w:rPr>
      </w:pPr>
    </w:p>
    <w:p w:rsidR="00072335" w:rsidRPr="00AA3C89" w:rsidRDefault="00072335" w:rsidP="00072335">
      <w:pPr>
        <w:spacing w:after="0" w:line="240" w:lineRule="auto"/>
        <w:jc w:val="both"/>
        <w:rPr>
          <w:rFonts w:ascii="Arial" w:hAnsi="Arial" w:cs="Arial"/>
          <w:sz w:val="24"/>
          <w:szCs w:val="24"/>
        </w:rPr>
      </w:pPr>
      <w:r w:rsidRPr="00AA3C89">
        <w:rPr>
          <w:rFonts w:ascii="Arial" w:hAnsi="Arial" w:cs="Arial"/>
          <w:b/>
          <w:sz w:val="24"/>
          <w:szCs w:val="24"/>
        </w:rPr>
        <w:t>Artículo 2.</w:t>
      </w:r>
      <w:r w:rsidRPr="00AA3C89">
        <w:rPr>
          <w:rFonts w:ascii="Arial" w:hAnsi="Arial" w:cs="Arial"/>
          <w:sz w:val="24"/>
          <w:szCs w:val="24"/>
        </w:rPr>
        <w:t xml:space="preserve"> El Fondo </w:t>
      </w:r>
      <w:r w:rsidR="009E712B" w:rsidRPr="00AA3C89">
        <w:rPr>
          <w:rFonts w:ascii="Arial" w:hAnsi="Arial" w:cs="Arial"/>
          <w:sz w:val="24"/>
          <w:szCs w:val="24"/>
        </w:rPr>
        <w:t>se integrará con</w:t>
      </w:r>
      <w:r w:rsidRPr="00AA3C89">
        <w:rPr>
          <w:rFonts w:ascii="Arial" w:hAnsi="Arial" w:cs="Arial"/>
          <w:sz w:val="24"/>
          <w:szCs w:val="24"/>
        </w:rPr>
        <w:t xml:space="preserve">: </w:t>
      </w:r>
    </w:p>
    <w:p w:rsidR="00072335" w:rsidRPr="00AA3C89" w:rsidRDefault="00072335" w:rsidP="00072335">
      <w:pPr>
        <w:numPr>
          <w:ilvl w:val="0"/>
          <w:numId w:val="2"/>
        </w:numPr>
        <w:spacing w:after="0" w:line="240" w:lineRule="auto"/>
        <w:jc w:val="both"/>
        <w:rPr>
          <w:rFonts w:ascii="Arial" w:hAnsi="Arial" w:cs="Arial"/>
          <w:sz w:val="24"/>
          <w:szCs w:val="24"/>
        </w:rPr>
      </w:pPr>
      <w:r w:rsidRPr="00AA3C89">
        <w:rPr>
          <w:rFonts w:ascii="Arial" w:hAnsi="Arial" w:cs="Arial"/>
          <w:sz w:val="24"/>
          <w:szCs w:val="24"/>
        </w:rPr>
        <w:t>Las utilidades</w:t>
      </w:r>
      <w:r w:rsidR="00040490">
        <w:rPr>
          <w:rFonts w:ascii="Arial" w:hAnsi="Arial" w:cs="Arial"/>
          <w:sz w:val="24"/>
          <w:szCs w:val="24"/>
        </w:rPr>
        <w:t xml:space="preserve"> </w:t>
      </w:r>
      <w:r w:rsidR="00DC7506">
        <w:rPr>
          <w:rFonts w:ascii="Arial" w:hAnsi="Arial" w:cs="Arial"/>
          <w:sz w:val="24"/>
          <w:szCs w:val="24"/>
        </w:rPr>
        <w:t xml:space="preserve">del ejercicio 2019 </w:t>
      </w:r>
      <w:r w:rsidRPr="00AA3C89">
        <w:rPr>
          <w:rFonts w:ascii="Arial" w:hAnsi="Arial" w:cs="Arial"/>
          <w:sz w:val="24"/>
          <w:szCs w:val="24"/>
        </w:rPr>
        <w:t xml:space="preserve">del Banco de la República Oriental del Uruguay a que refiere el artículo 40 de la </w:t>
      </w:r>
      <w:r w:rsidR="00040490">
        <w:rPr>
          <w:rFonts w:ascii="Arial" w:hAnsi="Arial" w:cs="Arial"/>
          <w:sz w:val="24"/>
          <w:szCs w:val="24"/>
        </w:rPr>
        <w:t>L</w:t>
      </w:r>
      <w:r w:rsidRPr="00AA3C89">
        <w:rPr>
          <w:rFonts w:ascii="Arial" w:hAnsi="Arial" w:cs="Arial"/>
          <w:sz w:val="24"/>
          <w:szCs w:val="24"/>
        </w:rPr>
        <w:t xml:space="preserve">ey Nº 18.716, </w:t>
      </w:r>
      <w:r w:rsidR="00925477" w:rsidRPr="00AA3C89">
        <w:rPr>
          <w:rFonts w:ascii="Arial" w:hAnsi="Arial" w:cs="Arial"/>
          <w:sz w:val="24"/>
          <w:szCs w:val="24"/>
        </w:rPr>
        <w:t xml:space="preserve">de 24 de diciembre de 2010, </w:t>
      </w:r>
      <w:r w:rsidRPr="00AA3C89">
        <w:rPr>
          <w:rFonts w:ascii="Arial" w:hAnsi="Arial" w:cs="Arial"/>
          <w:sz w:val="24"/>
          <w:szCs w:val="24"/>
        </w:rPr>
        <w:t xml:space="preserve">con la limitación que establece el </w:t>
      </w:r>
      <w:r w:rsidR="00040490">
        <w:rPr>
          <w:rFonts w:ascii="Arial" w:hAnsi="Arial" w:cs="Arial"/>
          <w:sz w:val="24"/>
          <w:szCs w:val="24"/>
        </w:rPr>
        <w:t xml:space="preserve">último </w:t>
      </w:r>
      <w:r w:rsidRPr="00AA3C89">
        <w:rPr>
          <w:rFonts w:ascii="Arial" w:hAnsi="Arial" w:cs="Arial"/>
          <w:sz w:val="24"/>
          <w:szCs w:val="24"/>
        </w:rPr>
        <w:t xml:space="preserve">inciso del artículo 11 de </w:t>
      </w:r>
      <w:r w:rsidR="00925477" w:rsidRPr="00AA3C89">
        <w:rPr>
          <w:rFonts w:ascii="Arial" w:hAnsi="Arial" w:cs="Arial"/>
          <w:sz w:val="24"/>
          <w:szCs w:val="24"/>
        </w:rPr>
        <w:t>dicha</w:t>
      </w:r>
      <w:r w:rsidRPr="00AA3C89">
        <w:rPr>
          <w:rFonts w:ascii="Arial" w:hAnsi="Arial" w:cs="Arial"/>
          <w:sz w:val="24"/>
          <w:szCs w:val="24"/>
        </w:rPr>
        <w:t xml:space="preserve"> norma.</w:t>
      </w:r>
      <w:r w:rsidRPr="00AA3C89">
        <w:rPr>
          <w:rFonts w:ascii="Arial" w:hAnsi="Arial" w:cs="Arial"/>
          <w:sz w:val="24"/>
          <w:szCs w:val="24"/>
          <w:highlight w:val="yellow"/>
        </w:rPr>
        <w:t xml:space="preserve"> </w:t>
      </w:r>
    </w:p>
    <w:p w:rsidR="00072335" w:rsidRPr="00AA3C89" w:rsidRDefault="00072335" w:rsidP="00FF71ED">
      <w:pPr>
        <w:pStyle w:val="Prrafodelista"/>
        <w:numPr>
          <w:ilvl w:val="0"/>
          <w:numId w:val="2"/>
        </w:numPr>
        <w:spacing w:after="0" w:line="240" w:lineRule="auto"/>
        <w:jc w:val="both"/>
        <w:rPr>
          <w:rFonts w:ascii="Arial" w:hAnsi="Arial" w:cs="Arial"/>
          <w:sz w:val="24"/>
          <w:szCs w:val="24"/>
        </w:rPr>
      </w:pPr>
      <w:bookmarkStart w:id="1" w:name="_Hlk36226793"/>
      <w:r w:rsidRPr="00AA3C89">
        <w:rPr>
          <w:rFonts w:ascii="Arial" w:hAnsi="Arial" w:cs="Arial"/>
          <w:sz w:val="24"/>
          <w:szCs w:val="24"/>
        </w:rPr>
        <w:t>Hasta el 100% (cien por ciento) de las utilidades acumuladas</w:t>
      </w:r>
      <w:r w:rsidR="006D6F11" w:rsidRPr="00AA3C89">
        <w:rPr>
          <w:rFonts w:ascii="Arial" w:hAnsi="Arial" w:cs="Arial"/>
          <w:sz w:val="24"/>
          <w:szCs w:val="24"/>
        </w:rPr>
        <w:t xml:space="preserve"> </w:t>
      </w:r>
      <w:r w:rsidRPr="00AA3C89">
        <w:rPr>
          <w:rFonts w:ascii="Arial" w:hAnsi="Arial" w:cs="Arial"/>
          <w:sz w:val="24"/>
          <w:szCs w:val="24"/>
        </w:rPr>
        <w:t>al momento de</w:t>
      </w:r>
      <w:r w:rsidR="00FF71ED" w:rsidRPr="00AA3C89">
        <w:rPr>
          <w:rFonts w:ascii="Arial" w:hAnsi="Arial" w:cs="Arial"/>
          <w:sz w:val="24"/>
          <w:szCs w:val="24"/>
        </w:rPr>
        <w:t xml:space="preserve"> </w:t>
      </w:r>
      <w:r w:rsidRPr="00AA3C89">
        <w:rPr>
          <w:rFonts w:ascii="Arial" w:hAnsi="Arial" w:cs="Arial"/>
          <w:sz w:val="24"/>
          <w:szCs w:val="24"/>
        </w:rPr>
        <w:t xml:space="preserve">la </w:t>
      </w:r>
      <w:r w:rsidR="00A43BF9" w:rsidRPr="00AA3C89">
        <w:rPr>
          <w:rFonts w:ascii="Arial" w:hAnsi="Arial" w:cs="Arial"/>
          <w:sz w:val="24"/>
          <w:szCs w:val="24"/>
        </w:rPr>
        <w:t xml:space="preserve">promulgación de la presente </w:t>
      </w:r>
      <w:r w:rsidR="00E460C1">
        <w:rPr>
          <w:rFonts w:ascii="Arial" w:hAnsi="Arial" w:cs="Arial"/>
          <w:sz w:val="24"/>
          <w:szCs w:val="24"/>
        </w:rPr>
        <w:t>l</w:t>
      </w:r>
      <w:r w:rsidRPr="00AA3C89">
        <w:rPr>
          <w:rFonts w:ascii="Arial" w:hAnsi="Arial" w:cs="Arial"/>
          <w:sz w:val="24"/>
          <w:szCs w:val="24"/>
        </w:rPr>
        <w:t>ey de l</w:t>
      </w:r>
      <w:r w:rsidR="00A43BF9" w:rsidRPr="00AA3C89">
        <w:rPr>
          <w:rFonts w:ascii="Arial" w:hAnsi="Arial" w:cs="Arial"/>
          <w:sz w:val="24"/>
          <w:szCs w:val="24"/>
        </w:rPr>
        <w:t xml:space="preserve">a </w:t>
      </w:r>
      <w:r w:rsidRPr="00AA3C89">
        <w:rPr>
          <w:rFonts w:ascii="Arial" w:hAnsi="Arial" w:cs="Arial"/>
          <w:sz w:val="24"/>
          <w:szCs w:val="24"/>
        </w:rPr>
        <w:t>Corporación Nacional para el Desarrollo (CND)</w:t>
      </w:r>
      <w:bookmarkEnd w:id="1"/>
      <w:r w:rsidR="00A43BF9" w:rsidRPr="00AA3C89">
        <w:rPr>
          <w:rFonts w:ascii="Arial" w:hAnsi="Arial" w:cs="Arial"/>
          <w:sz w:val="24"/>
          <w:szCs w:val="24"/>
        </w:rPr>
        <w:t xml:space="preserve">. </w:t>
      </w:r>
      <w:r w:rsidRPr="00AA3C89">
        <w:rPr>
          <w:rFonts w:ascii="Arial" w:hAnsi="Arial" w:cs="Arial"/>
          <w:sz w:val="24"/>
          <w:szCs w:val="24"/>
        </w:rPr>
        <w:t xml:space="preserve">El Poder Ejecutivo, previo informe de la Oficina de Planeamiento y Presupuesto, determinará </w:t>
      </w:r>
      <w:r w:rsidR="00B41A07" w:rsidRPr="00AA3C89">
        <w:rPr>
          <w:rFonts w:ascii="Arial" w:hAnsi="Arial" w:cs="Arial"/>
          <w:sz w:val="24"/>
          <w:szCs w:val="24"/>
        </w:rPr>
        <w:t xml:space="preserve">el </w:t>
      </w:r>
      <w:r w:rsidRPr="00AA3C89">
        <w:rPr>
          <w:rFonts w:ascii="Arial" w:hAnsi="Arial" w:cs="Arial"/>
          <w:sz w:val="24"/>
          <w:szCs w:val="24"/>
        </w:rPr>
        <w:t>porcentaje correspondiente</w:t>
      </w:r>
      <w:r w:rsidR="00B41A07" w:rsidRPr="00AA3C89">
        <w:rPr>
          <w:rFonts w:ascii="Arial" w:hAnsi="Arial" w:cs="Arial"/>
          <w:sz w:val="24"/>
          <w:szCs w:val="24"/>
        </w:rPr>
        <w:t xml:space="preserve"> </w:t>
      </w:r>
      <w:r w:rsidRPr="00AA3C89">
        <w:rPr>
          <w:rFonts w:ascii="Arial" w:hAnsi="Arial" w:cs="Arial"/>
          <w:sz w:val="24"/>
          <w:szCs w:val="24"/>
        </w:rPr>
        <w:t xml:space="preserve">de forma tal que no se afecte el cumplimiento normal de los cometidos que le hayan sido </w:t>
      </w:r>
      <w:r w:rsidR="00B41A07" w:rsidRPr="00AA3C89">
        <w:rPr>
          <w:rFonts w:ascii="Arial" w:hAnsi="Arial" w:cs="Arial"/>
          <w:sz w:val="24"/>
          <w:szCs w:val="24"/>
        </w:rPr>
        <w:t>atribuidos</w:t>
      </w:r>
      <w:r w:rsidRPr="00AA3C89">
        <w:rPr>
          <w:rFonts w:ascii="Arial" w:hAnsi="Arial" w:cs="Arial"/>
          <w:sz w:val="24"/>
          <w:szCs w:val="24"/>
        </w:rPr>
        <w:t>.</w:t>
      </w:r>
    </w:p>
    <w:p w:rsidR="00072335" w:rsidRPr="00AA3C89" w:rsidRDefault="00072335" w:rsidP="00072335">
      <w:pPr>
        <w:pStyle w:val="Prrafodelista"/>
        <w:numPr>
          <w:ilvl w:val="0"/>
          <w:numId w:val="2"/>
        </w:numPr>
        <w:spacing w:after="0" w:line="240" w:lineRule="auto"/>
        <w:jc w:val="both"/>
        <w:rPr>
          <w:rFonts w:ascii="Arial" w:hAnsi="Arial" w:cs="Arial"/>
          <w:sz w:val="24"/>
          <w:szCs w:val="24"/>
        </w:rPr>
      </w:pPr>
      <w:r w:rsidRPr="00AA3C89">
        <w:rPr>
          <w:rFonts w:ascii="Arial" w:hAnsi="Arial" w:cs="Arial"/>
          <w:sz w:val="24"/>
          <w:szCs w:val="24"/>
        </w:rPr>
        <w:t>El producido total de</w:t>
      </w:r>
      <w:r w:rsidR="00E306FA" w:rsidRPr="00AA3C89">
        <w:rPr>
          <w:rFonts w:ascii="Arial" w:hAnsi="Arial" w:cs="Arial"/>
          <w:sz w:val="24"/>
          <w:szCs w:val="24"/>
        </w:rPr>
        <w:t xml:space="preserve"> </w:t>
      </w:r>
      <w:r w:rsidR="00597601" w:rsidRPr="00AA3C89">
        <w:rPr>
          <w:rFonts w:ascii="Arial" w:hAnsi="Arial" w:cs="Arial"/>
          <w:sz w:val="24"/>
          <w:szCs w:val="24"/>
        </w:rPr>
        <w:t>l</w:t>
      </w:r>
      <w:r w:rsidR="00E306FA" w:rsidRPr="00AA3C89">
        <w:rPr>
          <w:rFonts w:ascii="Arial" w:hAnsi="Arial" w:cs="Arial"/>
          <w:sz w:val="24"/>
          <w:szCs w:val="24"/>
        </w:rPr>
        <w:t>os tributos transitorios</w:t>
      </w:r>
      <w:r w:rsidRPr="00AA3C89">
        <w:rPr>
          <w:rFonts w:ascii="Arial" w:hAnsi="Arial" w:cs="Arial"/>
          <w:sz w:val="24"/>
          <w:szCs w:val="24"/>
        </w:rPr>
        <w:t xml:space="preserve"> que se crea</w:t>
      </w:r>
      <w:r w:rsidR="00E306FA" w:rsidRPr="00AA3C89">
        <w:rPr>
          <w:rFonts w:ascii="Arial" w:hAnsi="Arial" w:cs="Arial"/>
          <w:sz w:val="24"/>
          <w:szCs w:val="24"/>
        </w:rPr>
        <w:t>n</w:t>
      </w:r>
      <w:r w:rsidRPr="00AA3C89">
        <w:rPr>
          <w:rFonts w:ascii="Arial" w:hAnsi="Arial" w:cs="Arial"/>
          <w:sz w:val="24"/>
          <w:szCs w:val="24"/>
        </w:rPr>
        <w:t xml:space="preserve"> </w:t>
      </w:r>
      <w:r w:rsidR="008932AF" w:rsidRPr="00AA3C89">
        <w:rPr>
          <w:rFonts w:ascii="Arial" w:hAnsi="Arial" w:cs="Arial"/>
          <w:sz w:val="24"/>
          <w:szCs w:val="24"/>
        </w:rPr>
        <w:t xml:space="preserve">por </w:t>
      </w:r>
      <w:r w:rsidRPr="00AA3C89">
        <w:rPr>
          <w:rFonts w:ascii="Arial" w:hAnsi="Arial" w:cs="Arial"/>
          <w:sz w:val="24"/>
          <w:szCs w:val="24"/>
        </w:rPr>
        <w:t>la presente ley.</w:t>
      </w:r>
    </w:p>
    <w:p w:rsidR="00072335" w:rsidRPr="00AA3C89" w:rsidRDefault="00072335" w:rsidP="00072335">
      <w:pPr>
        <w:numPr>
          <w:ilvl w:val="0"/>
          <w:numId w:val="2"/>
        </w:numPr>
        <w:spacing w:after="0" w:line="240" w:lineRule="auto"/>
        <w:jc w:val="both"/>
        <w:rPr>
          <w:rFonts w:ascii="Arial" w:hAnsi="Arial" w:cs="Arial"/>
          <w:sz w:val="24"/>
          <w:szCs w:val="24"/>
        </w:rPr>
      </w:pPr>
      <w:r w:rsidRPr="00AA3C89">
        <w:rPr>
          <w:rFonts w:ascii="Arial" w:eastAsia="Times New Roman" w:hAnsi="Arial" w:cs="Arial"/>
          <w:sz w:val="24"/>
          <w:szCs w:val="24"/>
          <w:lang w:eastAsia="es-ES"/>
        </w:rPr>
        <w:t xml:space="preserve">Las donaciones </w:t>
      </w:r>
      <w:r w:rsidR="00060ACB" w:rsidRPr="00AA3C89">
        <w:rPr>
          <w:rFonts w:ascii="Arial" w:eastAsia="Times New Roman" w:hAnsi="Arial" w:cs="Arial"/>
          <w:sz w:val="24"/>
          <w:szCs w:val="24"/>
          <w:lang w:eastAsia="es-ES"/>
        </w:rPr>
        <w:t>en dinero</w:t>
      </w:r>
      <w:r w:rsidRPr="00AA3C89">
        <w:rPr>
          <w:rFonts w:ascii="Arial" w:eastAsia="Times New Roman" w:hAnsi="Arial" w:cs="Arial"/>
          <w:sz w:val="24"/>
          <w:szCs w:val="24"/>
          <w:lang w:eastAsia="es-ES"/>
        </w:rPr>
        <w:t>, tanto nacionales como extranjer</w:t>
      </w:r>
      <w:r w:rsidR="00060ACB" w:rsidRPr="00AA3C89">
        <w:rPr>
          <w:rFonts w:ascii="Arial" w:eastAsia="Times New Roman" w:hAnsi="Arial" w:cs="Arial"/>
          <w:sz w:val="24"/>
          <w:szCs w:val="24"/>
          <w:lang w:eastAsia="es-ES"/>
        </w:rPr>
        <w:t>a</w:t>
      </w:r>
      <w:r w:rsidRPr="00AA3C89">
        <w:rPr>
          <w:rFonts w:ascii="Arial" w:eastAsia="Times New Roman" w:hAnsi="Arial" w:cs="Arial"/>
          <w:sz w:val="24"/>
          <w:szCs w:val="24"/>
          <w:lang w:eastAsia="es-ES"/>
        </w:rPr>
        <w:t>s</w:t>
      </w:r>
      <w:r w:rsidR="002A6C26">
        <w:rPr>
          <w:rFonts w:ascii="Arial" w:eastAsia="Times New Roman" w:hAnsi="Arial" w:cs="Arial"/>
          <w:sz w:val="24"/>
          <w:szCs w:val="24"/>
          <w:lang w:eastAsia="es-ES"/>
        </w:rPr>
        <w:t>,</w:t>
      </w:r>
      <w:r w:rsidR="00060ACB" w:rsidRPr="00AA3C89">
        <w:rPr>
          <w:rFonts w:ascii="Arial" w:eastAsia="Times New Roman" w:hAnsi="Arial" w:cs="Arial"/>
          <w:sz w:val="24"/>
          <w:szCs w:val="24"/>
          <w:lang w:eastAsia="es-ES"/>
        </w:rPr>
        <w:t xml:space="preserve"> que tengan por objeto contribuir con el Fondo Solidario COVID -19</w:t>
      </w:r>
      <w:r w:rsidRPr="00AA3C89">
        <w:rPr>
          <w:rFonts w:ascii="Arial" w:eastAsia="Times New Roman" w:hAnsi="Arial" w:cs="Arial"/>
          <w:sz w:val="24"/>
          <w:szCs w:val="24"/>
          <w:lang w:eastAsia="es-ES"/>
        </w:rPr>
        <w:t>.</w:t>
      </w:r>
    </w:p>
    <w:p w:rsidR="00072335" w:rsidRPr="00AA3C89" w:rsidRDefault="00060ACB" w:rsidP="00962797">
      <w:pPr>
        <w:numPr>
          <w:ilvl w:val="0"/>
          <w:numId w:val="2"/>
        </w:numPr>
        <w:spacing w:after="0" w:line="240" w:lineRule="auto"/>
        <w:ind w:left="714" w:hanging="357"/>
        <w:jc w:val="both"/>
        <w:rPr>
          <w:rFonts w:ascii="Arial" w:hAnsi="Arial" w:cs="Arial"/>
          <w:sz w:val="24"/>
          <w:szCs w:val="24"/>
        </w:rPr>
      </w:pPr>
      <w:r w:rsidRPr="00AA3C89">
        <w:rPr>
          <w:rFonts w:ascii="Arial" w:hAnsi="Arial" w:cs="Arial"/>
          <w:sz w:val="24"/>
          <w:szCs w:val="24"/>
        </w:rPr>
        <w:t>Determinados f</w:t>
      </w:r>
      <w:r w:rsidR="00072335" w:rsidRPr="00AA3C89">
        <w:rPr>
          <w:rFonts w:ascii="Arial" w:hAnsi="Arial" w:cs="Arial"/>
          <w:sz w:val="24"/>
          <w:szCs w:val="24"/>
        </w:rPr>
        <w:t xml:space="preserve">ondos originados en préstamos de </w:t>
      </w:r>
      <w:r w:rsidRPr="00AA3C89">
        <w:rPr>
          <w:rFonts w:ascii="Arial" w:hAnsi="Arial" w:cs="Arial"/>
          <w:sz w:val="24"/>
          <w:szCs w:val="24"/>
        </w:rPr>
        <w:t>o</w:t>
      </w:r>
      <w:r w:rsidR="00072335" w:rsidRPr="00AA3C89">
        <w:rPr>
          <w:rFonts w:ascii="Arial" w:hAnsi="Arial" w:cs="Arial"/>
          <w:sz w:val="24"/>
          <w:szCs w:val="24"/>
        </w:rPr>
        <w:t xml:space="preserve">rganismos </w:t>
      </w:r>
      <w:r w:rsidRPr="00AA3C89">
        <w:rPr>
          <w:rFonts w:ascii="Arial" w:hAnsi="Arial" w:cs="Arial"/>
          <w:sz w:val="24"/>
          <w:szCs w:val="24"/>
        </w:rPr>
        <w:t>i</w:t>
      </w:r>
      <w:r w:rsidR="00072335" w:rsidRPr="00AA3C89">
        <w:rPr>
          <w:rFonts w:ascii="Arial" w:hAnsi="Arial" w:cs="Arial"/>
          <w:sz w:val="24"/>
          <w:szCs w:val="24"/>
        </w:rPr>
        <w:t xml:space="preserve">nternacionales y </w:t>
      </w:r>
      <w:r w:rsidRPr="00AA3C89">
        <w:rPr>
          <w:rFonts w:ascii="Arial" w:hAnsi="Arial" w:cs="Arial"/>
          <w:sz w:val="24"/>
          <w:szCs w:val="24"/>
        </w:rPr>
        <w:t>m</w:t>
      </w:r>
      <w:r w:rsidR="00072335" w:rsidRPr="00AA3C89">
        <w:rPr>
          <w:rFonts w:ascii="Arial" w:hAnsi="Arial" w:cs="Arial"/>
          <w:sz w:val="24"/>
          <w:szCs w:val="24"/>
        </w:rPr>
        <w:t xml:space="preserve">ultilaterales de </w:t>
      </w:r>
      <w:r w:rsidRPr="00AA3C89">
        <w:rPr>
          <w:rFonts w:ascii="Arial" w:hAnsi="Arial" w:cs="Arial"/>
          <w:sz w:val="24"/>
          <w:szCs w:val="24"/>
        </w:rPr>
        <w:t>c</w:t>
      </w:r>
      <w:r w:rsidR="00072335" w:rsidRPr="00AA3C89">
        <w:rPr>
          <w:rFonts w:ascii="Arial" w:hAnsi="Arial" w:cs="Arial"/>
          <w:sz w:val="24"/>
          <w:szCs w:val="24"/>
        </w:rPr>
        <w:t>rédito.</w:t>
      </w:r>
    </w:p>
    <w:p w:rsidR="00040490" w:rsidRDefault="00072335" w:rsidP="00040490">
      <w:pPr>
        <w:numPr>
          <w:ilvl w:val="0"/>
          <w:numId w:val="2"/>
        </w:numPr>
        <w:spacing w:line="240" w:lineRule="auto"/>
        <w:ind w:left="714" w:hanging="357"/>
        <w:jc w:val="both"/>
        <w:rPr>
          <w:rFonts w:ascii="Arial" w:hAnsi="Arial" w:cs="Arial"/>
          <w:sz w:val="24"/>
          <w:szCs w:val="24"/>
        </w:rPr>
      </w:pPr>
      <w:r w:rsidRPr="00AA3C89">
        <w:rPr>
          <w:rFonts w:ascii="Arial" w:eastAsia="Times New Roman" w:hAnsi="Arial" w:cs="Arial"/>
          <w:sz w:val="24"/>
          <w:szCs w:val="24"/>
          <w:lang w:eastAsia="es-ES"/>
        </w:rPr>
        <w:t>Toda otra partida, fondo o contribución destinado al Fondo que s</w:t>
      </w:r>
      <w:r w:rsidR="00F05623" w:rsidRPr="00AA3C89">
        <w:rPr>
          <w:rFonts w:ascii="Arial" w:eastAsia="Times New Roman" w:hAnsi="Arial" w:cs="Arial"/>
          <w:sz w:val="24"/>
          <w:szCs w:val="24"/>
          <w:lang w:eastAsia="es-ES"/>
        </w:rPr>
        <w:t xml:space="preserve">e </w:t>
      </w:r>
      <w:r w:rsidRPr="00AA3C89">
        <w:rPr>
          <w:rFonts w:ascii="Arial" w:eastAsia="Times New Roman" w:hAnsi="Arial" w:cs="Arial"/>
          <w:sz w:val="24"/>
          <w:szCs w:val="24"/>
          <w:lang w:eastAsia="es-ES"/>
        </w:rPr>
        <w:t>crea</w:t>
      </w:r>
      <w:r w:rsidR="00F05623" w:rsidRPr="00AA3C89">
        <w:rPr>
          <w:rFonts w:ascii="Arial" w:eastAsia="Times New Roman" w:hAnsi="Arial" w:cs="Arial"/>
          <w:sz w:val="24"/>
          <w:szCs w:val="24"/>
          <w:lang w:eastAsia="es-ES"/>
        </w:rPr>
        <w:t xml:space="preserve"> por la presente ley.</w:t>
      </w:r>
    </w:p>
    <w:p w:rsidR="00040490" w:rsidRPr="00040490" w:rsidRDefault="00040490" w:rsidP="00040490">
      <w:pPr>
        <w:spacing w:line="240" w:lineRule="auto"/>
        <w:ind w:left="714"/>
        <w:jc w:val="both"/>
        <w:rPr>
          <w:rFonts w:ascii="Arial" w:hAnsi="Arial" w:cs="Arial"/>
          <w:sz w:val="24"/>
          <w:szCs w:val="24"/>
        </w:rPr>
      </w:pPr>
    </w:p>
    <w:p w:rsidR="0013319E" w:rsidRPr="00AA3C89" w:rsidRDefault="00072335" w:rsidP="00072335">
      <w:pPr>
        <w:pStyle w:val="HTMLconformatoprevio"/>
        <w:shd w:val="clear" w:color="auto" w:fill="FFFFFF"/>
        <w:spacing w:after="150" w:line="240" w:lineRule="auto"/>
        <w:jc w:val="both"/>
        <w:rPr>
          <w:rFonts w:ascii="Arial" w:hAnsi="Arial" w:cs="Arial"/>
          <w:sz w:val="24"/>
          <w:szCs w:val="24"/>
        </w:rPr>
      </w:pPr>
      <w:r w:rsidRPr="00AA3C89">
        <w:rPr>
          <w:rFonts w:ascii="Arial" w:hAnsi="Arial" w:cs="Arial"/>
          <w:b/>
          <w:sz w:val="24"/>
          <w:szCs w:val="24"/>
        </w:rPr>
        <w:t>Artículo 3 (</w:t>
      </w:r>
      <w:r w:rsidR="00495D42" w:rsidRPr="00AA3C89">
        <w:rPr>
          <w:rFonts w:ascii="Arial" w:hAnsi="Arial" w:cs="Arial"/>
          <w:b/>
          <w:sz w:val="24"/>
          <w:szCs w:val="24"/>
        </w:rPr>
        <w:t>Hecho Generador</w:t>
      </w:r>
      <w:r w:rsidRPr="00AA3C89">
        <w:rPr>
          <w:rFonts w:ascii="Arial" w:hAnsi="Arial" w:cs="Arial"/>
          <w:b/>
          <w:sz w:val="24"/>
          <w:szCs w:val="24"/>
        </w:rPr>
        <w:t>).</w:t>
      </w:r>
      <w:r w:rsidRPr="00AA3C89">
        <w:rPr>
          <w:rFonts w:ascii="Arial" w:hAnsi="Arial" w:cs="Arial"/>
          <w:sz w:val="24"/>
          <w:szCs w:val="24"/>
        </w:rPr>
        <w:t xml:space="preserve"> Créase un impuesto, de carácter mensual, denominado “</w:t>
      </w:r>
      <w:r w:rsidR="00E85943" w:rsidRPr="00AA3C89">
        <w:rPr>
          <w:rFonts w:ascii="Arial" w:hAnsi="Arial" w:cs="Arial"/>
          <w:sz w:val="24"/>
          <w:szCs w:val="24"/>
        </w:rPr>
        <w:t xml:space="preserve">Impuesto </w:t>
      </w:r>
      <w:r w:rsidRPr="00AA3C89">
        <w:rPr>
          <w:rFonts w:ascii="Arial" w:hAnsi="Arial" w:cs="Arial"/>
          <w:sz w:val="24"/>
          <w:szCs w:val="24"/>
        </w:rPr>
        <w:t>Emergencia Sanitaria COVID</w:t>
      </w:r>
      <w:r w:rsidR="00E85943" w:rsidRPr="00AA3C89">
        <w:rPr>
          <w:rFonts w:ascii="Arial" w:hAnsi="Arial" w:cs="Arial"/>
          <w:sz w:val="24"/>
          <w:szCs w:val="24"/>
        </w:rPr>
        <w:t>-</w:t>
      </w:r>
      <w:r w:rsidRPr="00AA3C89">
        <w:rPr>
          <w:rFonts w:ascii="Arial" w:hAnsi="Arial" w:cs="Arial"/>
          <w:sz w:val="24"/>
          <w:szCs w:val="24"/>
        </w:rPr>
        <w:t>19”, que gravará las remuneraciones y prestaciones nominales</w:t>
      </w:r>
      <w:r w:rsidR="0013319E" w:rsidRPr="00AA3C89">
        <w:rPr>
          <w:rFonts w:ascii="Arial" w:hAnsi="Arial" w:cs="Arial"/>
          <w:sz w:val="24"/>
          <w:szCs w:val="24"/>
        </w:rPr>
        <w:t>,</w:t>
      </w:r>
      <w:r w:rsidRPr="00AA3C89">
        <w:rPr>
          <w:rFonts w:ascii="Arial" w:hAnsi="Arial" w:cs="Arial"/>
          <w:sz w:val="24"/>
          <w:szCs w:val="24"/>
        </w:rPr>
        <w:t xml:space="preserve"> en efectivo o en especie, derivadas de servicios personales prestados </w:t>
      </w:r>
      <w:r w:rsidR="0013319E" w:rsidRPr="00AA3C89">
        <w:rPr>
          <w:rFonts w:ascii="Arial" w:hAnsi="Arial" w:cs="Arial"/>
          <w:sz w:val="24"/>
          <w:szCs w:val="24"/>
        </w:rPr>
        <w:t>al Estado, Gobiernos Departamentales, Entes Autónomos y Servicios Descentralizados, cualquiera sea la naturaleza jurídica de la relación de dependencia, correspondientes a los meses de devengamiento abril y mayo de 2020, quedando gravadas de acuerdo a la siguiente escala:</w:t>
      </w:r>
    </w:p>
    <w:p w:rsidR="0013319E" w:rsidRDefault="0013319E" w:rsidP="00072335">
      <w:pPr>
        <w:pStyle w:val="HTMLconformatoprevio"/>
        <w:shd w:val="clear" w:color="auto" w:fill="FFFFFF"/>
        <w:spacing w:after="150" w:line="240" w:lineRule="auto"/>
        <w:jc w:val="both"/>
        <w:rPr>
          <w:rFonts w:ascii="Arial" w:hAnsi="Arial" w:cs="Arial"/>
          <w:color w:val="FF0000"/>
          <w:sz w:val="24"/>
          <w:szCs w:val="24"/>
        </w:rPr>
      </w:pPr>
      <w:r>
        <w:rPr>
          <w:rFonts w:ascii="Arial" w:hAnsi="Arial" w:cs="Arial"/>
          <w:color w:val="FF0000"/>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13319E" w:rsidTr="000E146E">
        <w:tc>
          <w:tcPr>
            <w:tcW w:w="2123" w:type="dxa"/>
            <w:shd w:val="clear" w:color="auto" w:fill="auto"/>
          </w:tcPr>
          <w:p w:rsidR="0013319E" w:rsidRDefault="0013319E" w:rsidP="000E146E">
            <w:pPr>
              <w:jc w:val="both"/>
            </w:pPr>
          </w:p>
          <w:p w:rsidR="0013319E" w:rsidRDefault="0013319E" w:rsidP="000E146E">
            <w:pPr>
              <w:jc w:val="both"/>
            </w:pPr>
            <w:r>
              <w:t>Escala</w:t>
            </w:r>
            <w:r w:rsidR="002E438B">
              <w:t xml:space="preserve"> en pesos uruguayos</w:t>
            </w:r>
          </w:p>
        </w:tc>
        <w:tc>
          <w:tcPr>
            <w:tcW w:w="2123" w:type="dxa"/>
            <w:shd w:val="clear" w:color="auto" w:fill="auto"/>
          </w:tcPr>
          <w:p w:rsidR="0013319E" w:rsidRDefault="0013319E" w:rsidP="000E146E">
            <w:pPr>
              <w:jc w:val="both"/>
            </w:pPr>
            <w:r>
              <w:t xml:space="preserve">Más de </w:t>
            </w:r>
          </w:p>
        </w:tc>
        <w:tc>
          <w:tcPr>
            <w:tcW w:w="2124" w:type="dxa"/>
            <w:shd w:val="clear" w:color="auto" w:fill="auto"/>
          </w:tcPr>
          <w:p w:rsidR="0013319E" w:rsidRDefault="0013319E" w:rsidP="000E146E">
            <w:pPr>
              <w:jc w:val="both"/>
            </w:pPr>
            <w:r>
              <w:t>Hasta</w:t>
            </w:r>
          </w:p>
        </w:tc>
        <w:tc>
          <w:tcPr>
            <w:tcW w:w="2124" w:type="dxa"/>
            <w:shd w:val="clear" w:color="auto" w:fill="auto"/>
          </w:tcPr>
          <w:p w:rsidR="0013319E" w:rsidRDefault="0013319E" w:rsidP="000E146E">
            <w:pPr>
              <w:jc w:val="both"/>
            </w:pPr>
            <w:r>
              <w:t>Tasa</w:t>
            </w:r>
          </w:p>
        </w:tc>
      </w:tr>
      <w:tr w:rsidR="0013319E" w:rsidTr="000E146E">
        <w:tc>
          <w:tcPr>
            <w:tcW w:w="2123" w:type="dxa"/>
            <w:shd w:val="clear" w:color="auto" w:fill="auto"/>
          </w:tcPr>
          <w:p w:rsidR="0013319E" w:rsidRDefault="0013319E" w:rsidP="000E146E">
            <w:pPr>
              <w:jc w:val="both"/>
            </w:pPr>
          </w:p>
        </w:tc>
        <w:tc>
          <w:tcPr>
            <w:tcW w:w="2123" w:type="dxa"/>
            <w:shd w:val="clear" w:color="auto" w:fill="auto"/>
          </w:tcPr>
          <w:p w:rsidR="0013319E" w:rsidRDefault="0013319E" w:rsidP="000E146E">
            <w:pPr>
              <w:jc w:val="both"/>
            </w:pPr>
          </w:p>
        </w:tc>
        <w:tc>
          <w:tcPr>
            <w:tcW w:w="2124" w:type="dxa"/>
            <w:shd w:val="clear" w:color="auto" w:fill="auto"/>
          </w:tcPr>
          <w:p w:rsidR="0013319E" w:rsidRDefault="0013319E" w:rsidP="000E146E">
            <w:pPr>
              <w:jc w:val="both"/>
            </w:pPr>
            <w:r>
              <w:t>120.000</w:t>
            </w:r>
          </w:p>
        </w:tc>
        <w:tc>
          <w:tcPr>
            <w:tcW w:w="2124" w:type="dxa"/>
            <w:shd w:val="clear" w:color="auto" w:fill="auto"/>
          </w:tcPr>
          <w:p w:rsidR="0013319E" w:rsidRDefault="0013319E" w:rsidP="000E146E">
            <w:pPr>
              <w:jc w:val="both"/>
            </w:pPr>
            <w:r>
              <w:t>0%</w:t>
            </w:r>
          </w:p>
        </w:tc>
      </w:tr>
      <w:tr w:rsidR="0013319E" w:rsidTr="000E146E">
        <w:tc>
          <w:tcPr>
            <w:tcW w:w="2123" w:type="dxa"/>
            <w:shd w:val="clear" w:color="auto" w:fill="auto"/>
          </w:tcPr>
          <w:p w:rsidR="0013319E" w:rsidRDefault="0013319E" w:rsidP="000E146E">
            <w:pPr>
              <w:jc w:val="both"/>
            </w:pPr>
            <w:r>
              <w:t>1</w:t>
            </w:r>
          </w:p>
        </w:tc>
        <w:tc>
          <w:tcPr>
            <w:tcW w:w="2123" w:type="dxa"/>
            <w:shd w:val="clear" w:color="auto" w:fill="auto"/>
          </w:tcPr>
          <w:p w:rsidR="0013319E" w:rsidRDefault="0013319E" w:rsidP="000E146E">
            <w:pPr>
              <w:jc w:val="both"/>
            </w:pPr>
            <w:r>
              <w:t>120.000</w:t>
            </w:r>
          </w:p>
        </w:tc>
        <w:tc>
          <w:tcPr>
            <w:tcW w:w="2124" w:type="dxa"/>
            <w:shd w:val="clear" w:color="auto" w:fill="auto"/>
          </w:tcPr>
          <w:p w:rsidR="0013319E" w:rsidRDefault="0013319E" w:rsidP="000E146E">
            <w:pPr>
              <w:jc w:val="both"/>
            </w:pPr>
            <w:r>
              <w:t>130.000</w:t>
            </w:r>
          </w:p>
        </w:tc>
        <w:tc>
          <w:tcPr>
            <w:tcW w:w="2124" w:type="dxa"/>
            <w:shd w:val="clear" w:color="auto" w:fill="auto"/>
          </w:tcPr>
          <w:p w:rsidR="0013319E" w:rsidRDefault="0013319E" w:rsidP="000E146E">
            <w:pPr>
              <w:jc w:val="both"/>
            </w:pPr>
            <w:r>
              <w:t>5%</w:t>
            </w:r>
          </w:p>
        </w:tc>
      </w:tr>
      <w:tr w:rsidR="0013319E" w:rsidTr="000E146E">
        <w:tc>
          <w:tcPr>
            <w:tcW w:w="2123" w:type="dxa"/>
            <w:shd w:val="clear" w:color="auto" w:fill="auto"/>
          </w:tcPr>
          <w:p w:rsidR="0013319E" w:rsidRDefault="0013319E" w:rsidP="000E146E">
            <w:pPr>
              <w:jc w:val="both"/>
            </w:pPr>
            <w:r>
              <w:t>2</w:t>
            </w:r>
          </w:p>
        </w:tc>
        <w:tc>
          <w:tcPr>
            <w:tcW w:w="2123" w:type="dxa"/>
            <w:shd w:val="clear" w:color="auto" w:fill="auto"/>
          </w:tcPr>
          <w:p w:rsidR="0013319E" w:rsidRDefault="0013319E" w:rsidP="000E146E">
            <w:pPr>
              <w:jc w:val="both"/>
            </w:pPr>
            <w:r>
              <w:t>130.000</w:t>
            </w:r>
          </w:p>
        </w:tc>
        <w:tc>
          <w:tcPr>
            <w:tcW w:w="2124" w:type="dxa"/>
            <w:shd w:val="clear" w:color="auto" w:fill="auto"/>
          </w:tcPr>
          <w:p w:rsidR="0013319E" w:rsidRDefault="0013319E" w:rsidP="000E146E">
            <w:pPr>
              <w:jc w:val="both"/>
            </w:pPr>
            <w:r>
              <w:t>150.000</w:t>
            </w:r>
          </w:p>
        </w:tc>
        <w:tc>
          <w:tcPr>
            <w:tcW w:w="2124" w:type="dxa"/>
            <w:shd w:val="clear" w:color="auto" w:fill="auto"/>
          </w:tcPr>
          <w:p w:rsidR="0013319E" w:rsidRDefault="0013319E" w:rsidP="000E146E">
            <w:pPr>
              <w:jc w:val="both"/>
            </w:pPr>
            <w:r>
              <w:t>10%</w:t>
            </w:r>
          </w:p>
        </w:tc>
      </w:tr>
      <w:tr w:rsidR="0013319E" w:rsidTr="000E146E">
        <w:tc>
          <w:tcPr>
            <w:tcW w:w="2123" w:type="dxa"/>
            <w:shd w:val="clear" w:color="auto" w:fill="auto"/>
          </w:tcPr>
          <w:p w:rsidR="0013319E" w:rsidRDefault="0013319E" w:rsidP="000E146E">
            <w:pPr>
              <w:jc w:val="both"/>
            </w:pPr>
            <w:r>
              <w:t>3</w:t>
            </w:r>
          </w:p>
        </w:tc>
        <w:tc>
          <w:tcPr>
            <w:tcW w:w="2123" w:type="dxa"/>
            <w:shd w:val="clear" w:color="auto" w:fill="auto"/>
          </w:tcPr>
          <w:p w:rsidR="0013319E" w:rsidRDefault="0013319E" w:rsidP="000E146E">
            <w:pPr>
              <w:jc w:val="both"/>
            </w:pPr>
            <w:r>
              <w:t>150.000</w:t>
            </w:r>
          </w:p>
        </w:tc>
        <w:tc>
          <w:tcPr>
            <w:tcW w:w="2124" w:type="dxa"/>
            <w:shd w:val="clear" w:color="auto" w:fill="auto"/>
          </w:tcPr>
          <w:p w:rsidR="0013319E" w:rsidRDefault="0013319E" w:rsidP="000E146E">
            <w:pPr>
              <w:jc w:val="both"/>
            </w:pPr>
            <w:r>
              <w:t>180.000</w:t>
            </w:r>
          </w:p>
        </w:tc>
        <w:tc>
          <w:tcPr>
            <w:tcW w:w="2124" w:type="dxa"/>
            <w:shd w:val="clear" w:color="auto" w:fill="auto"/>
          </w:tcPr>
          <w:p w:rsidR="0013319E" w:rsidRDefault="0013319E" w:rsidP="000E146E">
            <w:pPr>
              <w:jc w:val="both"/>
            </w:pPr>
            <w:r>
              <w:t>15%</w:t>
            </w:r>
          </w:p>
        </w:tc>
      </w:tr>
      <w:tr w:rsidR="0013319E" w:rsidTr="000E146E">
        <w:tc>
          <w:tcPr>
            <w:tcW w:w="2123" w:type="dxa"/>
            <w:shd w:val="clear" w:color="auto" w:fill="auto"/>
          </w:tcPr>
          <w:p w:rsidR="0013319E" w:rsidRDefault="0013319E" w:rsidP="000E146E">
            <w:pPr>
              <w:jc w:val="both"/>
            </w:pPr>
            <w:r>
              <w:t>4</w:t>
            </w:r>
          </w:p>
        </w:tc>
        <w:tc>
          <w:tcPr>
            <w:tcW w:w="2123" w:type="dxa"/>
            <w:shd w:val="clear" w:color="auto" w:fill="auto"/>
          </w:tcPr>
          <w:p w:rsidR="0013319E" w:rsidRDefault="0013319E" w:rsidP="000E146E">
            <w:pPr>
              <w:jc w:val="both"/>
            </w:pPr>
            <w:r>
              <w:t>180.000</w:t>
            </w:r>
          </w:p>
        </w:tc>
        <w:tc>
          <w:tcPr>
            <w:tcW w:w="2124" w:type="dxa"/>
            <w:shd w:val="clear" w:color="auto" w:fill="auto"/>
          </w:tcPr>
          <w:p w:rsidR="0013319E" w:rsidRDefault="0013319E" w:rsidP="000E146E">
            <w:pPr>
              <w:jc w:val="both"/>
            </w:pPr>
          </w:p>
        </w:tc>
        <w:tc>
          <w:tcPr>
            <w:tcW w:w="2124" w:type="dxa"/>
            <w:shd w:val="clear" w:color="auto" w:fill="auto"/>
          </w:tcPr>
          <w:p w:rsidR="0013319E" w:rsidRDefault="0013319E" w:rsidP="000E146E">
            <w:pPr>
              <w:jc w:val="both"/>
            </w:pPr>
            <w:r>
              <w:t>20%</w:t>
            </w:r>
          </w:p>
        </w:tc>
      </w:tr>
    </w:tbl>
    <w:p w:rsidR="0013319E" w:rsidRPr="00AA3C89" w:rsidRDefault="0013319E" w:rsidP="0013319E">
      <w:pPr>
        <w:spacing w:line="240" w:lineRule="auto"/>
        <w:jc w:val="both"/>
        <w:rPr>
          <w:rFonts w:ascii="Arial" w:hAnsi="Arial" w:cs="Arial"/>
          <w:sz w:val="24"/>
          <w:szCs w:val="24"/>
        </w:rPr>
      </w:pPr>
    </w:p>
    <w:p w:rsidR="00072335" w:rsidRPr="00AA3C89" w:rsidRDefault="0013319E" w:rsidP="00072335">
      <w:pPr>
        <w:pStyle w:val="HTMLconformatoprevio"/>
        <w:shd w:val="clear" w:color="auto" w:fill="FFFFFF"/>
        <w:spacing w:after="150" w:line="240" w:lineRule="auto"/>
        <w:jc w:val="both"/>
        <w:rPr>
          <w:rFonts w:ascii="Arial" w:hAnsi="Arial" w:cs="Arial"/>
          <w:sz w:val="24"/>
          <w:szCs w:val="24"/>
        </w:rPr>
      </w:pPr>
      <w:r w:rsidRPr="00AA3C89">
        <w:rPr>
          <w:rFonts w:ascii="Arial" w:hAnsi="Arial" w:cs="Arial"/>
          <w:sz w:val="24"/>
          <w:szCs w:val="24"/>
        </w:rPr>
        <w:t xml:space="preserve">Queda excluido del presente gravamen </w:t>
      </w:r>
      <w:r w:rsidR="00072335" w:rsidRPr="00AA3C89">
        <w:rPr>
          <w:rFonts w:ascii="Arial" w:hAnsi="Arial" w:cs="Arial"/>
          <w:sz w:val="24"/>
          <w:szCs w:val="24"/>
        </w:rPr>
        <w:t>el sueldo anual complementario</w:t>
      </w:r>
      <w:r w:rsidRPr="00AA3C89">
        <w:rPr>
          <w:rFonts w:ascii="Arial" w:hAnsi="Arial" w:cs="Arial"/>
          <w:sz w:val="24"/>
          <w:szCs w:val="24"/>
        </w:rPr>
        <w:t xml:space="preserve"> o, de corresponder, el salario vacacional. </w:t>
      </w:r>
    </w:p>
    <w:p w:rsidR="00072335" w:rsidRPr="00AA3C89" w:rsidRDefault="00072335" w:rsidP="00072335">
      <w:pPr>
        <w:shd w:val="clear" w:color="auto" w:fill="FFFFFF"/>
        <w:spacing w:after="150" w:line="240" w:lineRule="auto"/>
        <w:jc w:val="both"/>
        <w:rPr>
          <w:rFonts w:ascii="Arial" w:eastAsia="Times New Roman" w:hAnsi="Arial" w:cs="Arial"/>
          <w:sz w:val="24"/>
          <w:szCs w:val="24"/>
          <w:lang w:eastAsia="es-ES"/>
        </w:rPr>
      </w:pPr>
      <w:r w:rsidRPr="00AA3C89">
        <w:rPr>
          <w:rFonts w:ascii="Arial" w:eastAsia="Times New Roman" w:hAnsi="Arial" w:cs="Arial"/>
          <w:sz w:val="24"/>
          <w:szCs w:val="24"/>
          <w:lang w:eastAsia="es-ES"/>
        </w:rPr>
        <w:t xml:space="preserve">El sujeto activo de la relación jurídico tributaria será el </w:t>
      </w:r>
      <w:r w:rsidR="005B4887" w:rsidRPr="00AA3C89">
        <w:rPr>
          <w:rFonts w:ascii="Arial" w:eastAsia="Times New Roman" w:hAnsi="Arial" w:cs="Arial"/>
          <w:sz w:val="24"/>
          <w:szCs w:val="24"/>
          <w:lang w:eastAsia="es-ES"/>
        </w:rPr>
        <w:t xml:space="preserve">Poder Ejecutivo, </w:t>
      </w:r>
      <w:r w:rsidRPr="00AA3C89">
        <w:rPr>
          <w:rFonts w:ascii="Arial" w:eastAsia="Times New Roman" w:hAnsi="Arial" w:cs="Arial"/>
          <w:sz w:val="24"/>
          <w:szCs w:val="24"/>
          <w:lang w:eastAsia="es-ES"/>
        </w:rPr>
        <w:t>a través del Ministerio de Economía y Finanzas</w:t>
      </w:r>
      <w:r w:rsidR="005B4887" w:rsidRPr="00AA3C89">
        <w:rPr>
          <w:rFonts w:ascii="Arial" w:eastAsia="Times New Roman" w:hAnsi="Arial" w:cs="Arial"/>
          <w:sz w:val="24"/>
          <w:szCs w:val="24"/>
          <w:lang w:eastAsia="es-ES"/>
        </w:rPr>
        <w:t>,</w:t>
      </w:r>
      <w:r w:rsidRPr="00AA3C89">
        <w:rPr>
          <w:rFonts w:ascii="Arial" w:eastAsia="Times New Roman" w:hAnsi="Arial" w:cs="Arial"/>
          <w:sz w:val="24"/>
          <w:szCs w:val="24"/>
          <w:lang w:eastAsia="es-ES"/>
        </w:rPr>
        <w:t xml:space="preserve"> quien reglamentará la forma de cobranza. </w:t>
      </w:r>
    </w:p>
    <w:p w:rsidR="0013319E" w:rsidRDefault="0013319E" w:rsidP="00072335">
      <w:pPr>
        <w:pStyle w:val="HTMLconformatoprevio"/>
        <w:shd w:val="clear" w:color="auto" w:fill="FFFFFF"/>
        <w:spacing w:after="150" w:line="240" w:lineRule="auto"/>
        <w:jc w:val="both"/>
        <w:rPr>
          <w:rFonts w:ascii="Arial" w:hAnsi="Arial" w:cs="Arial"/>
          <w:b/>
          <w:sz w:val="24"/>
          <w:szCs w:val="24"/>
        </w:rPr>
      </w:pPr>
    </w:p>
    <w:p w:rsidR="00072335" w:rsidRPr="00AA3C89" w:rsidRDefault="00072335" w:rsidP="00072335">
      <w:pPr>
        <w:pStyle w:val="HTMLconformatoprevio"/>
        <w:shd w:val="clear" w:color="auto" w:fill="FFFFFF"/>
        <w:spacing w:after="150" w:line="240" w:lineRule="auto"/>
        <w:jc w:val="both"/>
        <w:rPr>
          <w:rFonts w:ascii="Arial" w:hAnsi="Arial" w:cs="Arial"/>
          <w:sz w:val="24"/>
          <w:szCs w:val="24"/>
        </w:rPr>
      </w:pPr>
      <w:r w:rsidRPr="00AA3C89">
        <w:rPr>
          <w:rFonts w:ascii="Arial" w:hAnsi="Arial" w:cs="Arial"/>
          <w:b/>
          <w:sz w:val="24"/>
          <w:szCs w:val="24"/>
        </w:rPr>
        <w:t>Artículo 4 (Sujetos Pasivos).</w:t>
      </w:r>
      <w:r w:rsidRPr="00AA3C89">
        <w:rPr>
          <w:rFonts w:ascii="Arial" w:hAnsi="Arial" w:cs="Arial"/>
          <w:sz w:val="24"/>
          <w:szCs w:val="24"/>
        </w:rPr>
        <w:t xml:space="preserve"> Serán contribuyentes, las personas físicas que obtengan los ingresos a que refiere el artículo anterior, en los siguientes casos:</w:t>
      </w:r>
    </w:p>
    <w:p w:rsidR="00072335" w:rsidRPr="00AA3C89" w:rsidRDefault="00072335" w:rsidP="00072335">
      <w:pPr>
        <w:pStyle w:val="HTMLconformatoprevio"/>
        <w:shd w:val="clear" w:color="auto" w:fill="FFFFFF"/>
        <w:spacing w:after="150" w:line="240" w:lineRule="auto"/>
        <w:jc w:val="both"/>
        <w:rPr>
          <w:rFonts w:ascii="Arial" w:hAnsi="Arial" w:cs="Arial"/>
          <w:sz w:val="24"/>
          <w:szCs w:val="24"/>
        </w:rPr>
      </w:pPr>
      <w:r w:rsidRPr="00AA3C89">
        <w:rPr>
          <w:rFonts w:ascii="Arial" w:hAnsi="Arial" w:cs="Arial"/>
          <w:sz w:val="24"/>
          <w:szCs w:val="24"/>
        </w:rPr>
        <w:t xml:space="preserve">1) Funcionarios de la Administración Central, Poder Legislativo, Poder Judicial, los organismos comprendidos en los artículos 220 y 221 de la Constitución </w:t>
      </w:r>
      <w:r w:rsidR="005B4887" w:rsidRPr="00AA3C89">
        <w:rPr>
          <w:rFonts w:ascii="Arial" w:hAnsi="Arial" w:cs="Arial"/>
          <w:sz w:val="24"/>
          <w:szCs w:val="24"/>
        </w:rPr>
        <w:t xml:space="preserve">de la República </w:t>
      </w:r>
      <w:r w:rsidRPr="00AA3C89">
        <w:rPr>
          <w:rFonts w:ascii="Arial" w:hAnsi="Arial" w:cs="Arial"/>
          <w:sz w:val="24"/>
          <w:szCs w:val="24"/>
        </w:rPr>
        <w:t xml:space="preserve">y </w:t>
      </w:r>
      <w:r w:rsidR="005B4887" w:rsidRPr="00AA3C89">
        <w:rPr>
          <w:rFonts w:ascii="Arial" w:hAnsi="Arial" w:cs="Arial"/>
          <w:sz w:val="24"/>
          <w:szCs w:val="24"/>
        </w:rPr>
        <w:t xml:space="preserve">de los </w:t>
      </w:r>
      <w:r w:rsidRPr="00AA3C89">
        <w:rPr>
          <w:rFonts w:ascii="Arial" w:hAnsi="Arial" w:cs="Arial"/>
          <w:sz w:val="24"/>
          <w:szCs w:val="24"/>
        </w:rPr>
        <w:t xml:space="preserve">Gobiernos Departamentales. </w:t>
      </w:r>
    </w:p>
    <w:p w:rsidR="00F87F62" w:rsidRDefault="00F87F62" w:rsidP="00072335">
      <w:pPr>
        <w:pStyle w:val="HTMLconformatoprevio"/>
        <w:shd w:val="clear" w:color="auto" w:fill="FFFFFF"/>
        <w:spacing w:after="150" w:line="240" w:lineRule="auto"/>
        <w:jc w:val="both"/>
        <w:rPr>
          <w:rFonts w:ascii="Arial" w:hAnsi="Arial" w:cs="Arial"/>
          <w:sz w:val="24"/>
          <w:szCs w:val="24"/>
        </w:rPr>
      </w:pPr>
      <w:r>
        <w:rPr>
          <w:rFonts w:ascii="Arial" w:hAnsi="Arial" w:cs="Arial"/>
          <w:sz w:val="24"/>
          <w:szCs w:val="24"/>
        </w:rPr>
        <w:t>2) Quienes presten servicios personales en las personas de derecho público no estatal y las entidades de propiedad estatal en las que el Estado o cualquier entidad pública posea participación mayoritaria, cualquiera sea su naturaleza jurídica, la naturaleza de su vínculo y su financiamiento.</w:t>
      </w:r>
      <w:bookmarkStart w:id="2" w:name="_GoBack"/>
      <w:bookmarkEnd w:id="2"/>
    </w:p>
    <w:p w:rsidR="00072335" w:rsidRDefault="00F87F62" w:rsidP="00072335">
      <w:pPr>
        <w:pStyle w:val="HTMLconformatoprevio"/>
        <w:shd w:val="clear" w:color="auto" w:fill="FFFFFF"/>
        <w:spacing w:after="150" w:line="240" w:lineRule="auto"/>
        <w:jc w:val="both"/>
        <w:rPr>
          <w:rFonts w:ascii="Arial" w:hAnsi="Arial" w:cs="Arial"/>
          <w:sz w:val="24"/>
          <w:szCs w:val="24"/>
        </w:rPr>
      </w:pPr>
      <w:r>
        <w:rPr>
          <w:rFonts w:ascii="Arial" w:hAnsi="Arial" w:cs="Arial"/>
          <w:sz w:val="24"/>
          <w:szCs w:val="24"/>
        </w:rPr>
        <w:t>3</w:t>
      </w:r>
      <w:r w:rsidR="00072335" w:rsidRPr="007F09BA">
        <w:rPr>
          <w:rFonts w:ascii="Arial" w:hAnsi="Arial" w:cs="Arial"/>
          <w:sz w:val="24"/>
          <w:szCs w:val="24"/>
        </w:rPr>
        <w:t>) Aquellas personas físicas que mantengan contratos de servicios personales con el Estado,</w:t>
      </w:r>
      <w:r w:rsidR="00072335">
        <w:rPr>
          <w:rFonts w:ascii="Arial" w:hAnsi="Arial" w:cs="Arial"/>
          <w:sz w:val="24"/>
          <w:szCs w:val="24"/>
        </w:rPr>
        <w:t xml:space="preserve"> incluyendo los contratos de arrendamiento de obra y de servicios,</w:t>
      </w:r>
      <w:r w:rsidR="00072335" w:rsidRPr="00AE427A">
        <w:rPr>
          <w:rFonts w:ascii="Arial" w:hAnsi="Arial" w:cs="Arial"/>
          <w:sz w:val="24"/>
          <w:szCs w:val="24"/>
        </w:rPr>
        <w:t xml:space="preserve"> motivados por vínculos temporales que no revistan la condición de funcionarios públicos, excluido el Impuesto al Valor Agregado</w:t>
      </w:r>
      <w:r w:rsidR="00072335">
        <w:rPr>
          <w:rFonts w:ascii="Arial" w:hAnsi="Arial" w:cs="Arial"/>
          <w:sz w:val="24"/>
          <w:szCs w:val="24"/>
        </w:rPr>
        <w:t>,</w:t>
      </w:r>
      <w:r w:rsidR="00072335">
        <w:rPr>
          <w:rFonts w:ascii="Arial" w:hAnsi="Arial" w:cs="Arial"/>
          <w:color w:val="00B050"/>
          <w:sz w:val="24"/>
          <w:szCs w:val="24"/>
        </w:rPr>
        <w:t xml:space="preserve"> </w:t>
      </w:r>
      <w:r w:rsidR="00072335" w:rsidRPr="00810B8D">
        <w:rPr>
          <w:rFonts w:ascii="Arial" w:hAnsi="Arial" w:cs="Arial"/>
          <w:sz w:val="24"/>
          <w:szCs w:val="24"/>
        </w:rPr>
        <w:t>cualquiera sea su fuente de financiamiento.-.</w:t>
      </w:r>
    </w:p>
    <w:p w:rsidR="00072335" w:rsidRDefault="00F87F62" w:rsidP="00072335">
      <w:pPr>
        <w:pStyle w:val="HTMLconformatoprevio"/>
        <w:shd w:val="clear" w:color="auto" w:fill="FFFFFF"/>
        <w:spacing w:after="150" w:line="240" w:lineRule="auto"/>
        <w:jc w:val="both"/>
        <w:rPr>
          <w:rFonts w:ascii="Arial" w:hAnsi="Arial" w:cs="Arial"/>
          <w:sz w:val="24"/>
          <w:szCs w:val="24"/>
        </w:rPr>
      </w:pPr>
      <w:r>
        <w:rPr>
          <w:rFonts w:ascii="Arial" w:hAnsi="Arial" w:cs="Arial"/>
          <w:sz w:val="24"/>
          <w:szCs w:val="24"/>
        </w:rPr>
        <w:t>4</w:t>
      </w:r>
      <w:r w:rsidR="00072335">
        <w:rPr>
          <w:rFonts w:ascii="Arial" w:hAnsi="Arial" w:cs="Arial"/>
          <w:sz w:val="24"/>
          <w:szCs w:val="24"/>
        </w:rPr>
        <w:t>) Los beneficiarios de los subsidios otorgados por ley a quienes hubieren ocupado cargos públicos o de particular confianza.</w:t>
      </w:r>
    </w:p>
    <w:p w:rsidR="00072335" w:rsidRPr="000045CB" w:rsidRDefault="00072335" w:rsidP="00072335">
      <w:pPr>
        <w:pStyle w:val="HTMLconformatoprevio"/>
        <w:shd w:val="clear" w:color="auto" w:fill="FFFFFF"/>
        <w:spacing w:after="150" w:line="240" w:lineRule="auto"/>
        <w:jc w:val="both"/>
        <w:rPr>
          <w:rFonts w:ascii="Arial" w:hAnsi="Arial" w:cs="Arial"/>
          <w:sz w:val="24"/>
          <w:szCs w:val="24"/>
        </w:rPr>
      </w:pPr>
      <w:r>
        <w:rPr>
          <w:rFonts w:ascii="Arial" w:hAnsi="Arial" w:cs="Arial"/>
          <w:sz w:val="24"/>
          <w:szCs w:val="24"/>
        </w:rPr>
        <w:t xml:space="preserve">Queda </w:t>
      </w:r>
      <w:r w:rsidRPr="000045CB">
        <w:rPr>
          <w:rFonts w:ascii="Arial" w:hAnsi="Arial" w:cs="Arial"/>
          <w:sz w:val="24"/>
          <w:szCs w:val="24"/>
        </w:rPr>
        <w:t>except</w:t>
      </w:r>
      <w:r>
        <w:rPr>
          <w:rFonts w:ascii="Arial" w:hAnsi="Arial" w:cs="Arial"/>
          <w:sz w:val="24"/>
          <w:szCs w:val="24"/>
        </w:rPr>
        <w:t>uado</w:t>
      </w:r>
      <w:r w:rsidRPr="000045CB">
        <w:rPr>
          <w:rFonts w:ascii="Arial" w:hAnsi="Arial" w:cs="Arial"/>
          <w:sz w:val="24"/>
          <w:szCs w:val="24"/>
        </w:rPr>
        <w:t xml:space="preserve"> del presente impuesto, </w:t>
      </w:r>
      <w:r>
        <w:rPr>
          <w:rFonts w:ascii="Arial" w:hAnsi="Arial" w:cs="Arial"/>
          <w:sz w:val="24"/>
          <w:szCs w:val="24"/>
        </w:rPr>
        <w:t>el</w:t>
      </w:r>
      <w:r w:rsidRPr="000045CB">
        <w:rPr>
          <w:rFonts w:ascii="Arial" w:hAnsi="Arial" w:cs="Arial"/>
          <w:sz w:val="24"/>
          <w:szCs w:val="24"/>
        </w:rPr>
        <w:t xml:space="preserve"> personal </w:t>
      </w:r>
      <w:r>
        <w:rPr>
          <w:rFonts w:ascii="Arial" w:hAnsi="Arial" w:cs="Arial"/>
          <w:sz w:val="24"/>
          <w:szCs w:val="24"/>
        </w:rPr>
        <w:t>de la salud que participa directa o indirectamente en el proceso asistencial (trabajadores médicos y no médicos) que a raíz de las tareas que desempeña, está expuesto al contagio del SARS-CoV2, que provoca la enfermedad COVID 19</w:t>
      </w:r>
      <w:r w:rsidRPr="000045CB">
        <w:rPr>
          <w:rFonts w:ascii="Arial" w:hAnsi="Arial" w:cs="Arial"/>
          <w:sz w:val="24"/>
          <w:szCs w:val="24"/>
        </w:rPr>
        <w:t>.</w:t>
      </w:r>
      <w:r>
        <w:rPr>
          <w:rFonts w:ascii="Arial" w:hAnsi="Arial" w:cs="Arial"/>
          <w:sz w:val="24"/>
          <w:szCs w:val="24"/>
        </w:rPr>
        <w:t xml:space="preserve"> (Opción 2)</w:t>
      </w:r>
    </w:p>
    <w:p w:rsidR="00072335" w:rsidRPr="00946B77" w:rsidRDefault="00072335" w:rsidP="00072335">
      <w:pPr>
        <w:spacing w:line="240" w:lineRule="auto"/>
        <w:jc w:val="both"/>
        <w:rPr>
          <w:rFonts w:ascii="Arial" w:hAnsi="Arial" w:cs="Arial"/>
          <w:b/>
          <w:sz w:val="24"/>
          <w:szCs w:val="24"/>
        </w:rPr>
      </w:pPr>
    </w:p>
    <w:p w:rsidR="00072335" w:rsidRPr="00972AA7" w:rsidRDefault="00946B77" w:rsidP="00072335">
      <w:pPr>
        <w:spacing w:line="240" w:lineRule="auto"/>
        <w:jc w:val="both"/>
        <w:rPr>
          <w:rFonts w:ascii="Arial" w:hAnsi="Arial" w:cs="Arial"/>
          <w:sz w:val="24"/>
          <w:szCs w:val="24"/>
          <w:shd w:val="clear" w:color="auto" w:fill="FFFFFF"/>
        </w:rPr>
      </w:pPr>
      <w:r w:rsidRPr="00946B77">
        <w:rPr>
          <w:rFonts w:ascii="Arial" w:hAnsi="Arial" w:cs="Arial"/>
          <w:b/>
          <w:sz w:val="24"/>
          <w:szCs w:val="24"/>
        </w:rPr>
        <w:t>Artículo 5 (Cargos políticos</w:t>
      </w:r>
      <w:r>
        <w:rPr>
          <w:rFonts w:ascii="Arial" w:hAnsi="Arial" w:cs="Arial"/>
          <w:b/>
          <w:sz w:val="24"/>
          <w:szCs w:val="24"/>
        </w:rPr>
        <w:t xml:space="preserve">, cargos </w:t>
      </w:r>
      <w:r w:rsidRPr="00946B77">
        <w:rPr>
          <w:rFonts w:ascii="Arial" w:hAnsi="Arial" w:cs="Arial"/>
          <w:b/>
          <w:sz w:val="24"/>
          <w:szCs w:val="24"/>
        </w:rPr>
        <w:t>de particular confianza</w:t>
      </w:r>
      <w:r>
        <w:rPr>
          <w:rFonts w:ascii="Arial" w:hAnsi="Arial" w:cs="Arial"/>
          <w:b/>
          <w:sz w:val="24"/>
          <w:szCs w:val="24"/>
        </w:rPr>
        <w:t xml:space="preserve"> y cargos del servicio exterior</w:t>
      </w:r>
      <w:r w:rsidRPr="00946B77">
        <w:rPr>
          <w:rFonts w:ascii="Arial" w:hAnsi="Arial" w:cs="Arial"/>
          <w:b/>
          <w:sz w:val="24"/>
          <w:szCs w:val="24"/>
        </w:rPr>
        <w:t>).</w:t>
      </w:r>
      <w:r>
        <w:rPr>
          <w:rFonts w:ascii="Arial" w:hAnsi="Arial" w:cs="Arial"/>
          <w:bCs/>
          <w:sz w:val="24"/>
          <w:szCs w:val="24"/>
        </w:rPr>
        <w:t xml:space="preserve"> </w:t>
      </w:r>
      <w:r w:rsidR="00072335" w:rsidRPr="00972AA7">
        <w:rPr>
          <w:rFonts w:ascii="Arial" w:hAnsi="Arial" w:cs="Arial"/>
          <w:sz w:val="24"/>
          <w:szCs w:val="24"/>
          <w:shd w:val="clear" w:color="auto" w:fill="FFFFFF"/>
        </w:rPr>
        <w:t xml:space="preserve">Las remuneraciones y prestaciones nominales del Presidente </w:t>
      </w:r>
      <w:r w:rsidR="00072335" w:rsidRPr="00972AA7">
        <w:rPr>
          <w:rFonts w:ascii="Arial" w:hAnsi="Arial" w:cs="Arial"/>
          <w:sz w:val="24"/>
          <w:szCs w:val="24"/>
          <w:shd w:val="clear" w:color="auto" w:fill="FFFFFF"/>
        </w:rPr>
        <w:lastRenderedPageBreak/>
        <w:t>y Vicepresidente de la República, Legisladores, Ministros y Subsecretarios de Estado, Intendentes y demás funcionarios políticos y de particular confianza, estarán gravadas por este impuesto, a la tasa del 20% (veinte por ciento).</w:t>
      </w:r>
    </w:p>
    <w:p w:rsidR="00072335" w:rsidRPr="00972AA7" w:rsidRDefault="00072335" w:rsidP="00072335">
      <w:pPr>
        <w:spacing w:line="240" w:lineRule="auto"/>
        <w:jc w:val="both"/>
        <w:rPr>
          <w:rFonts w:ascii="Arial" w:hAnsi="Arial" w:cs="Arial"/>
          <w:sz w:val="24"/>
          <w:szCs w:val="24"/>
          <w:shd w:val="clear" w:color="auto" w:fill="FFFFFF"/>
        </w:rPr>
      </w:pPr>
      <w:r w:rsidRPr="00972AA7">
        <w:rPr>
          <w:rFonts w:ascii="Arial" w:hAnsi="Arial" w:cs="Arial"/>
          <w:sz w:val="24"/>
          <w:szCs w:val="24"/>
        </w:rPr>
        <w:t>Los subsidios establecidos en el Artículo 35, Literal C), Incisos 3) y 4) del Acto Institucional N°9, de 23 de octubre de 1979, en la redacción dada por el Artículo 5 de la Ley N° 15.900, de 21 de octubre de 1987 y en el Artículo único de la Ley N° 16.195, de 10 de julio de 1991, estarán gravados por este impuesto, a la tasa del 20% (veinte por ciento).</w:t>
      </w:r>
    </w:p>
    <w:p w:rsidR="00072335" w:rsidRPr="00972AA7" w:rsidRDefault="00072335" w:rsidP="00072335">
      <w:pPr>
        <w:spacing w:line="240" w:lineRule="auto"/>
        <w:jc w:val="both"/>
        <w:rPr>
          <w:rFonts w:ascii="Arial" w:hAnsi="Arial" w:cs="Arial"/>
          <w:sz w:val="24"/>
          <w:szCs w:val="24"/>
          <w:shd w:val="clear" w:color="auto" w:fill="FFFFFF"/>
        </w:rPr>
      </w:pPr>
      <w:r w:rsidRPr="00972AA7">
        <w:rPr>
          <w:rFonts w:ascii="Arial" w:hAnsi="Arial" w:cs="Arial"/>
          <w:sz w:val="24"/>
          <w:szCs w:val="24"/>
          <w:shd w:val="clear" w:color="auto" w:fill="FFFFFF"/>
        </w:rPr>
        <w:t xml:space="preserve">Las retribuciones personales de los funcionarios que desempeñan tareas en el exterior de la República, incluyendo los cargos de Embajadores, Ministros o Ministros Consejeros, constituyen materia gravada por este impuesto. </w:t>
      </w:r>
    </w:p>
    <w:p w:rsidR="00072335" w:rsidRPr="00972AA7" w:rsidRDefault="00072335" w:rsidP="00072335">
      <w:pPr>
        <w:spacing w:line="240" w:lineRule="auto"/>
        <w:jc w:val="both"/>
        <w:rPr>
          <w:rFonts w:ascii="Arial" w:hAnsi="Arial" w:cs="Arial"/>
          <w:sz w:val="24"/>
          <w:szCs w:val="24"/>
          <w:shd w:val="clear" w:color="auto" w:fill="FFFFFF"/>
        </w:rPr>
      </w:pPr>
      <w:r w:rsidRPr="00972AA7">
        <w:rPr>
          <w:rFonts w:ascii="Arial" w:hAnsi="Arial" w:cs="Arial"/>
          <w:sz w:val="24"/>
          <w:szCs w:val="24"/>
          <w:shd w:val="clear" w:color="auto" w:fill="FFFFFF"/>
        </w:rPr>
        <w:t>Se consideran comprendidas en el inciso anterior todas las retribuciones percibidas por los funcionarios por concepto de sueldos presupuestados y diferencias por aplicación del coeficiente establecido en el artículo 63 de la ley 12.801 de 30 noviembre de 1960.</w:t>
      </w:r>
    </w:p>
    <w:p w:rsidR="00072335" w:rsidRPr="00972AA7" w:rsidRDefault="00072335" w:rsidP="00072335">
      <w:pPr>
        <w:spacing w:line="240" w:lineRule="auto"/>
        <w:jc w:val="both"/>
        <w:rPr>
          <w:rFonts w:ascii="Arial" w:hAnsi="Arial" w:cs="Arial"/>
          <w:sz w:val="24"/>
          <w:szCs w:val="24"/>
          <w:shd w:val="clear" w:color="auto" w:fill="FFFFFF"/>
        </w:rPr>
      </w:pPr>
    </w:p>
    <w:p w:rsidR="00072335" w:rsidRDefault="00072335" w:rsidP="00072335">
      <w:pPr>
        <w:spacing w:line="240" w:lineRule="auto"/>
        <w:jc w:val="both"/>
        <w:rPr>
          <w:rFonts w:ascii="Arial" w:hAnsi="Arial" w:cs="Arial"/>
          <w:sz w:val="24"/>
          <w:szCs w:val="24"/>
          <w:shd w:val="clear" w:color="auto" w:fill="FFFFFF"/>
        </w:rPr>
      </w:pPr>
      <w:r w:rsidRPr="00972AA7">
        <w:rPr>
          <w:rFonts w:ascii="Arial" w:hAnsi="Arial" w:cs="Arial"/>
          <w:b/>
          <w:sz w:val="24"/>
          <w:szCs w:val="24"/>
          <w:shd w:val="clear" w:color="auto" w:fill="FFFFFF"/>
        </w:rPr>
        <w:t>Artículo 6 (Retribuciones y Prestaciones líquidas).</w:t>
      </w:r>
      <w:r w:rsidRPr="00972AA7">
        <w:rPr>
          <w:rFonts w:ascii="Arial" w:hAnsi="Arial" w:cs="Arial"/>
          <w:sz w:val="24"/>
          <w:szCs w:val="24"/>
          <w:shd w:val="clear" w:color="auto" w:fill="FFFFFF"/>
        </w:rPr>
        <w:t xml:space="preserve"> En ningún caso el monto</w:t>
      </w:r>
      <w:r>
        <w:rPr>
          <w:rFonts w:ascii="Arial" w:hAnsi="Arial" w:cs="Arial"/>
          <w:sz w:val="24"/>
          <w:szCs w:val="24"/>
          <w:shd w:val="clear" w:color="auto" w:fill="FFFFFF"/>
        </w:rPr>
        <w:t xml:space="preserve"> de las retribuciones y prestaciones líquidas, una vez deducidas las contribuciones especiales a la seguridad social, </w:t>
      </w:r>
      <w:r w:rsidR="00386B76">
        <w:rPr>
          <w:rFonts w:ascii="Arial" w:hAnsi="Arial" w:cs="Arial"/>
          <w:sz w:val="24"/>
          <w:szCs w:val="24"/>
          <w:shd w:val="clear" w:color="auto" w:fill="FFFFFF"/>
        </w:rPr>
        <w:t>e</w:t>
      </w:r>
      <w:r>
        <w:rPr>
          <w:rFonts w:ascii="Arial" w:hAnsi="Arial" w:cs="Arial"/>
          <w:sz w:val="24"/>
          <w:szCs w:val="24"/>
          <w:shd w:val="clear" w:color="auto" w:fill="FFFFFF"/>
        </w:rPr>
        <w:t xml:space="preserve">l aporte al sistema de salud correspondiente, </w:t>
      </w:r>
      <w:r w:rsidR="00386B76">
        <w:rPr>
          <w:rFonts w:ascii="Arial" w:hAnsi="Arial" w:cs="Arial"/>
          <w:sz w:val="24"/>
          <w:szCs w:val="24"/>
          <w:shd w:val="clear" w:color="auto" w:fill="FFFFFF"/>
        </w:rPr>
        <w:t>e</w:t>
      </w:r>
      <w:r>
        <w:rPr>
          <w:rFonts w:ascii="Arial" w:hAnsi="Arial" w:cs="Arial"/>
          <w:sz w:val="24"/>
          <w:szCs w:val="24"/>
          <w:shd w:val="clear" w:color="auto" w:fill="FFFFFF"/>
        </w:rPr>
        <w:t xml:space="preserve">l Fondo de Reconversión Laboral, </w:t>
      </w:r>
      <w:r w:rsidR="00386B76">
        <w:rPr>
          <w:rFonts w:ascii="Arial" w:hAnsi="Arial" w:cs="Arial"/>
          <w:sz w:val="24"/>
          <w:szCs w:val="24"/>
          <w:shd w:val="clear" w:color="auto" w:fill="FFFFFF"/>
        </w:rPr>
        <w:t>e</w:t>
      </w:r>
      <w:r>
        <w:rPr>
          <w:rFonts w:ascii="Arial" w:hAnsi="Arial" w:cs="Arial"/>
          <w:sz w:val="24"/>
          <w:szCs w:val="24"/>
          <w:shd w:val="clear" w:color="auto" w:fill="FFFFFF"/>
        </w:rPr>
        <w:t>l Impuesto a la Renta de las Personas Físicas y el impuesto que se crea, podrá ser inferior al mayor de los siguientes montos:</w:t>
      </w:r>
    </w:p>
    <w:p w:rsidR="00072335" w:rsidRPr="00AA3C89" w:rsidRDefault="00072335" w:rsidP="00072335">
      <w:pPr>
        <w:numPr>
          <w:ilvl w:val="0"/>
          <w:numId w:val="4"/>
        </w:numPr>
        <w:spacing w:line="240" w:lineRule="auto"/>
        <w:jc w:val="both"/>
        <w:rPr>
          <w:rFonts w:ascii="Arial" w:hAnsi="Arial" w:cs="Arial"/>
          <w:sz w:val="24"/>
          <w:szCs w:val="24"/>
        </w:rPr>
      </w:pPr>
      <w:r w:rsidRPr="00AA3C89">
        <w:rPr>
          <w:rFonts w:ascii="Arial" w:hAnsi="Arial" w:cs="Arial"/>
          <w:sz w:val="24"/>
          <w:szCs w:val="24"/>
        </w:rPr>
        <w:t>$</w:t>
      </w:r>
      <w:r w:rsidR="00FC6604" w:rsidRPr="00AA3C89">
        <w:rPr>
          <w:rFonts w:ascii="Arial" w:hAnsi="Arial" w:cs="Arial"/>
          <w:sz w:val="24"/>
          <w:szCs w:val="24"/>
        </w:rPr>
        <w:t xml:space="preserve"> </w:t>
      </w:r>
      <w:r w:rsidRPr="00AA3C89">
        <w:rPr>
          <w:rFonts w:ascii="Arial" w:hAnsi="Arial" w:cs="Arial"/>
          <w:sz w:val="24"/>
          <w:szCs w:val="24"/>
        </w:rPr>
        <w:t>80.000 (pesos ochenta mil) líquidos mensuales.</w:t>
      </w:r>
    </w:p>
    <w:p w:rsidR="00072335" w:rsidRPr="00AA3C89" w:rsidRDefault="00072335" w:rsidP="00072335">
      <w:pPr>
        <w:numPr>
          <w:ilvl w:val="0"/>
          <w:numId w:val="4"/>
        </w:numPr>
        <w:spacing w:line="240" w:lineRule="auto"/>
        <w:jc w:val="both"/>
        <w:rPr>
          <w:rFonts w:ascii="Arial" w:hAnsi="Arial" w:cs="Arial"/>
          <w:sz w:val="24"/>
          <w:szCs w:val="24"/>
        </w:rPr>
      </w:pPr>
      <w:r w:rsidRPr="00AA3C89">
        <w:rPr>
          <w:rFonts w:ascii="Arial" w:hAnsi="Arial" w:cs="Arial"/>
          <w:sz w:val="24"/>
          <w:szCs w:val="24"/>
        </w:rPr>
        <w:t xml:space="preserve">El líquido resultante del mayor </w:t>
      </w:r>
      <w:r w:rsidR="00FC6604" w:rsidRPr="00AA3C89">
        <w:rPr>
          <w:rFonts w:ascii="Arial" w:hAnsi="Arial" w:cs="Arial"/>
          <w:sz w:val="24"/>
          <w:szCs w:val="24"/>
        </w:rPr>
        <w:t>ingreso</w:t>
      </w:r>
      <w:r w:rsidRPr="00AA3C89">
        <w:rPr>
          <w:rFonts w:ascii="Arial" w:hAnsi="Arial" w:cs="Arial"/>
          <w:sz w:val="24"/>
          <w:szCs w:val="24"/>
        </w:rPr>
        <w:t xml:space="preserve"> de la franja anterior </w:t>
      </w:r>
      <w:bookmarkStart w:id="3" w:name="_Hlk36545629"/>
      <w:r w:rsidR="00FC6604" w:rsidRPr="00AA3C89">
        <w:rPr>
          <w:rFonts w:ascii="Arial" w:hAnsi="Arial" w:cs="Arial"/>
          <w:sz w:val="24"/>
          <w:szCs w:val="24"/>
        </w:rPr>
        <w:t>conforme de</w:t>
      </w:r>
      <w:r w:rsidR="008E4619" w:rsidRPr="00AA3C89">
        <w:rPr>
          <w:rFonts w:ascii="Arial" w:hAnsi="Arial" w:cs="Arial"/>
          <w:sz w:val="24"/>
          <w:szCs w:val="24"/>
        </w:rPr>
        <w:t xml:space="preserve"> a</w:t>
      </w:r>
      <w:r w:rsidR="00FC6604" w:rsidRPr="00AA3C89">
        <w:rPr>
          <w:rFonts w:ascii="Arial" w:hAnsi="Arial" w:cs="Arial"/>
          <w:sz w:val="24"/>
          <w:szCs w:val="24"/>
        </w:rPr>
        <w:t xml:space="preserve"> la liquidación de una persona física sin dependientes ni otros familiares a cargo, que liquida bajo el régimen individual a efecto </w:t>
      </w:r>
      <w:bookmarkEnd w:id="3"/>
      <w:r w:rsidR="00FC6604" w:rsidRPr="00AA3C89">
        <w:rPr>
          <w:rFonts w:ascii="Arial" w:hAnsi="Arial" w:cs="Arial"/>
          <w:sz w:val="24"/>
          <w:szCs w:val="24"/>
        </w:rPr>
        <w:t xml:space="preserve">del </w:t>
      </w:r>
      <w:r w:rsidRPr="00AA3C89">
        <w:rPr>
          <w:rFonts w:ascii="Arial" w:hAnsi="Arial" w:cs="Arial"/>
          <w:sz w:val="24"/>
          <w:szCs w:val="24"/>
        </w:rPr>
        <w:t>Impuesto a la Renta de las Personas Físicas y del aporte al Fondo Nacional de Salud.</w:t>
      </w:r>
    </w:p>
    <w:p w:rsidR="00072335" w:rsidRPr="00A21C1A" w:rsidRDefault="00072335" w:rsidP="00072335">
      <w:pPr>
        <w:spacing w:line="240" w:lineRule="auto"/>
        <w:jc w:val="both"/>
        <w:rPr>
          <w:rFonts w:ascii="Arial" w:hAnsi="Arial" w:cs="Arial"/>
          <w:sz w:val="24"/>
          <w:szCs w:val="24"/>
          <w:shd w:val="clear" w:color="auto" w:fill="FFFFFF"/>
        </w:rPr>
      </w:pPr>
      <w:r w:rsidRPr="00A21C1A">
        <w:rPr>
          <w:rFonts w:ascii="Arial" w:hAnsi="Arial" w:cs="Arial"/>
          <w:sz w:val="24"/>
          <w:szCs w:val="24"/>
        </w:rPr>
        <w:t>Para los contribuyentes comprendidos en el numeral 2° del artículo 4° de la presente ley, el impuesto será el resultante de aplicar la tasa correspondiente al importe de la prestación mensual, excluido el Impuesto al Valor Agregado</w:t>
      </w:r>
    </w:p>
    <w:p w:rsidR="00072335" w:rsidRPr="00A21C1A" w:rsidRDefault="00072335" w:rsidP="00072335">
      <w:pPr>
        <w:pStyle w:val="NormalWeb"/>
        <w:shd w:val="clear" w:color="auto" w:fill="FFFFFF"/>
        <w:spacing w:after="150"/>
        <w:jc w:val="both"/>
      </w:pPr>
      <w:r w:rsidRPr="00A21C1A">
        <w:rPr>
          <w:rFonts w:ascii="Arial" w:hAnsi="Arial" w:cs="Arial"/>
          <w:b/>
        </w:rPr>
        <w:t>Artículo 7.</w:t>
      </w:r>
      <w:r w:rsidRPr="00A21C1A">
        <w:rPr>
          <w:rFonts w:ascii="Arial" w:hAnsi="Arial" w:cs="Arial"/>
        </w:rPr>
        <w:t xml:space="preserve"> En ningún caso el impuesto que se establece será deducible en la determinación del IRPF.</w:t>
      </w:r>
    </w:p>
    <w:p w:rsidR="00072335" w:rsidRPr="00365093" w:rsidRDefault="00072335" w:rsidP="00072335">
      <w:pPr>
        <w:pStyle w:val="HTMLconformatoprevio"/>
        <w:shd w:val="clear" w:color="auto" w:fill="FFFFFF"/>
        <w:spacing w:after="150" w:line="240" w:lineRule="auto"/>
        <w:jc w:val="both"/>
        <w:rPr>
          <w:rFonts w:ascii="Arial" w:hAnsi="Arial" w:cs="Arial"/>
          <w:sz w:val="24"/>
          <w:szCs w:val="24"/>
        </w:rPr>
      </w:pPr>
      <w:r w:rsidRPr="00A21C1A">
        <w:rPr>
          <w:rFonts w:ascii="Arial" w:hAnsi="Arial" w:cs="Arial"/>
          <w:b/>
          <w:sz w:val="24"/>
          <w:szCs w:val="24"/>
        </w:rPr>
        <w:t>Artículo 8</w:t>
      </w:r>
      <w:r w:rsidRPr="00A21C1A">
        <w:rPr>
          <w:rFonts w:ascii="Arial" w:hAnsi="Arial" w:cs="Arial"/>
          <w:sz w:val="24"/>
          <w:szCs w:val="24"/>
        </w:rPr>
        <w:t xml:space="preserve">. </w:t>
      </w:r>
      <w:r w:rsidR="00024B0B">
        <w:rPr>
          <w:rFonts w:ascii="Arial" w:hAnsi="Arial" w:cs="Arial"/>
          <w:b/>
          <w:bCs/>
          <w:sz w:val="24"/>
          <w:szCs w:val="24"/>
        </w:rPr>
        <w:t xml:space="preserve">(Adicional al Impuesto de Asistencia a la Seguridad Social). </w:t>
      </w:r>
      <w:r w:rsidRPr="00365093">
        <w:rPr>
          <w:rStyle w:val="text-justify"/>
          <w:rFonts w:ascii="Arial" w:hAnsi="Arial" w:cs="Arial"/>
          <w:sz w:val="24"/>
          <w:szCs w:val="24"/>
        </w:rPr>
        <w:t xml:space="preserve">Estarán gravados los ingresos correspondientes a las jubilaciones, pensiones y prestaciones de pasividad similares, servidos por instituciones públicas y privadas, residentes en la República, </w:t>
      </w:r>
      <w:r w:rsidRPr="00365093">
        <w:rPr>
          <w:rFonts w:ascii="Arial" w:hAnsi="Arial" w:cs="Arial"/>
          <w:sz w:val="24"/>
          <w:szCs w:val="24"/>
        </w:rPr>
        <w:t>de acuerdo a la siguiente escala:</w:t>
      </w:r>
    </w:p>
    <w:p w:rsidR="00072335" w:rsidRDefault="00072335" w:rsidP="00072335">
      <w:pPr>
        <w:pStyle w:val="HTMLconformatoprevio"/>
        <w:shd w:val="clear" w:color="auto" w:fill="FFFFFF"/>
        <w:spacing w:after="15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072335" w:rsidTr="00911279">
        <w:tc>
          <w:tcPr>
            <w:tcW w:w="2123" w:type="dxa"/>
            <w:shd w:val="clear" w:color="auto" w:fill="auto"/>
          </w:tcPr>
          <w:p w:rsidR="00072335" w:rsidRDefault="00072335" w:rsidP="00911279">
            <w:pPr>
              <w:jc w:val="both"/>
            </w:pPr>
            <w:r>
              <w:t>Escala</w:t>
            </w:r>
          </w:p>
        </w:tc>
        <w:tc>
          <w:tcPr>
            <w:tcW w:w="2123" w:type="dxa"/>
            <w:shd w:val="clear" w:color="auto" w:fill="auto"/>
          </w:tcPr>
          <w:p w:rsidR="00072335" w:rsidRDefault="00072335" w:rsidP="00911279">
            <w:pPr>
              <w:jc w:val="both"/>
            </w:pPr>
            <w:r>
              <w:t xml:space="preserve">Más de </w:t>
            </w:r>
          </w:p>
        </w:tc>
        <w:tc>
          <w:tcPr>
            <w:tcW w:w="2124" w:type="dxa"/>
            <w:shd w:val="clear" w:color="auto" w:fill="auto"/>
          </w:tcPr>
          <w:p w:rsidR="00072335" w:rsidRDefault="00072335" w:rsidP="00911279">
            <w:pPr>
              <w:jc w:val="both"/>
            </w:pPr>
            <w:r>
              <w:t>Hasta</w:t>
            </w:r>
          </w:p>
        </w:tc>
        <w:tc>
          <w:tcPr>
            <w:tcW w:w="2124" w:type="dxa"/>
            <w:shd w:val="clear" w:color="auto" w:fill="auto"/>
          </w:tcPr>
          <w:p w:rsidR="00072335" w:rsidRDefault="00072335" w:rsidP="00911279">
            <w:pPr>
              <w:jc w:val="both"/>
            </w:pPr>
            <w:r>
              <w:t>Tasa</w:t>
            </w:r>
          </w:p>
        </w:tc>
      </w:tr>
      <w:tr w:rsidR="00072335" w:rsidTr="00911279">
        <w:tc>
          <w:tcPr>
            <w:tcW w:w="2123" w:type="dxa"/>
            <w:shd w:val="clear" w:color="auto" w:fill="auto"/>
          </w:tcPr>
          <w:p w:rsidR="00072335" w:rsidRDefault="00072335" w:rsidP="00911279">
            <w:pPr>
              <w:jc w:val="both"/>
            </w:pPr>
          </w:p>
        </w:tc>
        <w:tc>
          <w:tcPr>
            <w:tcW w:w="2123" w:type="dxa"/>
            <w:shd w:val="clear" w:color="auto" w:fill="auto"/>
          </w:tcPr>
          <w:p w:rsidR="00072335" w:rsidRDefault="00072335" w:rsidP="00911279">
            <w:pPr>
              <w:jc w:val="both"/>
            </w:pPr>
          </w:p>
        </w:tc>
        <w:tc>
          <w:tcPr>
            <w:tcW w:w="2124" w:type="dxa"/>
            <w:shd w:val="clear" w:color="auto" w:fill="auto"/>
          </w:tcPr>
          <w:p w:rsidR="00072335" w:rsidRDefault="00072335" w:rsidP="00911279">
            <w:pPr>
              <w:jc w:val="both"/>
            </w:pPr>
            <w:r>
              <w:t>120.000</w:t>
            </w:r>
          </w:p>
        </w:tc>
        <w:tc>
          <w:tcPr>
            <w:tcW w:w="2124" w:type="dxa"/>
            <w:shd w:val="clear" w:color="auto" w:fill="auto"/>
          </w:tcPr>
          <w:p w:rsidR="00072335" w:rsidRDefault="00072335" w:rsidP="00911279">
            <w:pPr>
              <w:jc w:val="both"/>
            </w:pPr>
            <w:r>
              <w:t>0%</w:t>
            </w:r>
          </w:p>
        </w:tc>
      </w:tr>
      <w:tr w:rsidR="00072335" w:rsidTr="00911279">
        <w:tc>
          <w:tcPr>
            <w:tcW w:w="2123" w:type="dxa"/>
            <w:shd w:val="clear" w:color="auto" w:fill="auto"/>
          </w:tcPr>
          <w:p w:rsidR="00072335" w:rsidRDefault="00072335" w:rsidP="00911279">
            <w:pPr>
              <w:jc w:val="both"/>
            </w:pPr>
            <w:r>
              <w:t>1</w:t>
            </w:r>
          </w:p>
        </w:tc>
        <w:tc>
          <w:tcPr>
            <w:tcW w:w="2123" w:type="dxa"/>
            <w:shd w:val="clear" w:color="auto" w:fill="auto"/>
          </w:tcPr>
          <w:p w:rsidR="00072335" w:rsidRDefault="00072335" w:rsidP="00911279">
            <w:pPr>
              <w:jc w:val="both"/>
            </w:pPr>
            <w:r>
              <w:t>120.000</w:t>
            </w:r>
          </w:p>
        </w:tc>
        <w:tc>
          <w:tcPr>
            <w:tcW w:w="2124" w:type="dxa"/>
            <w:shd w:val="clear" w:color="auto" w:fill="auto"/>
          </w:tcPr>
          <w:p w:rsidR="00072335" w:rsidRDefault="00072335" w:rsidP="00911279">
            <w:pPr>
              <w:jc w:val="both"/>
            </w:pPr>
            <w:r>
              <w:t>130.000</w:t>
            </w:r>
          </w:p>
        </w:tc>
        <w:tc>
          <w:tcPr>
            <w:tcW w:w="2124" w:type="dxa"/>
            <w:shd w:val="clear" w:color="auto" w:fill="auto"/>
          </w:tcPr>
          <w:p w:rsidR="00072335" w:rsidRDefault="00072335" w:rsidP="00911279">
            <w:pPr>
              <w:jc w:val="both"/>
            </w:pPr>
            <w:r>
              <w:t>5%</w:t>
            </w:r>
          </w:p>
        </w:tc>
      </w:tr>
      <w:tr w:rsidR="00072335" w:rsidTr="00911279">
        <w:tc>
          <w:tcPr>
            <w:tcW w:w="2123" w:type="dxa"/>
            <w:shd w:val="clear" w:color="auto" w:fill="auto"/>
          </w:tcPr>
          <w:p w:rsidR="00072335" w:rsidRDefault="00072335" w:rsidP="00911279">
            <w:pPr>
              <w:jc w:val="both"/>
            </w:pPr>
            <w:r>
              <w:lastRenderedPageBreak/>
              <w:t>2</w:t>
            </w:r>
          </w:p>
        </w:tc>
        <w:tc>
          <w:tcPr>
            <w:tcW w:w="2123" w:type="dxa"/>
            <w:shd w:val="clear" w:color="auto" w:fill="auto"/>
          </w:tcPr>
          <w:p w:rsidR="00072335" w:rsidRDefault="00072335" w:rsidP="00911279">
            <w:pPr>
              <w:jc w:val="both"/>
            </w:pPr>
            <w:r>
              <w:t>130.000</w:t>
            </w:r>
          </w:p>
        </w:tc>
        <w:tc>
          <w:tcPr>
            <w:tcW w:w="2124" w:type="dxa"/>
            <w:shd w:val="clear" w:color="auto" w:fill="auto"/>
          </w:tcPr>
          <w:p w:rsidR="00072335" w:rsidRDefault="00072335" w:rsidP="00911279">
            <w:pPr>
              <w:jc w:val="both"/>
            </w:pPr>
            <w:r>
              <w:t>150.000</w:t>
            </w:r>
          </w:p>
        </w:tc>
        <w:tc>
          <w:tcPr>
            <w:tcW w:w="2124" w:type="dxa"/>
            <w:shd w:val="clear" w:color="auto" w:fill="auto"/>
          </w:tcPr>
          <w:p w:rsidR="00072335" w:rsidRDefault="00072335" w:rsidP="00911279">
            <w:pPr>
              <w:jc w:val="both"/>
            </w:pPr>
            <w:r>
              <w:t>10%</w:t>
            </w:r>
          </w:p>
        </w:tc>
      </w:tr>
      <w:tr w:rsidR="00072335" w:rsidTr="00911279">
        <w:tc>
          <w:tcPr>
            <w:tcW w:w="2123" w:type="dxa"/>
            <w:shd w:val="clear" w:color="auto" w:fill="auto"/>
          </w:tcPr>
          <w:p w:rsidR="00072335" w:rsidRDefault="00072335" w:rsidP="00911279">
            <w:pPr>
              <w:jc w:val="both"/>
            </w:pPr>
            <w:r>
              <w:t>3</w:t>
            </w:r>
          </w:p>
        </w:tc>
        <w:tc>
          <w:tcPr>
            <w:tcW w:w="2123" w:type="dxa"/>
            <w:shd w:val="clear" w:color="auto" w:fill="auto"/>
          </w:tcPr>
          <w:p w:rsidR="00072335" w:rsidRDefault="00072335" w:rsidP="00911279">
            <w:pPr>
              <w:jc w:val="both"/>
            </w:pPr>
            <w:r>
              <w:t>150.000</w:t>
            </w:r>
          </w:p>
        </w:tc>
        <w:tc>
          <w:tcPr>
            <w:tcW w:w="2124" w:type="dxa"/>
            <w:shd w:val="clear" w:color="auto" w:fill="auto"/>
          </w:tcPr>
          <w:p w:rsidR="00072335" w:rsidRDefault="00072335" w:rsidP="00911279">
            <w:pPr>
              <w:jc w:val="both"/>
            </w:pPr>
            <w:r>
              <w:t>180.000</w:t>
            </w:r>
          </w:p>
        </w:tc>
        <w:tc>
          <w:tcPr>
            <w:tcW w:w="2124" w:type="dxa"/>
            <w:shd w:val="clear" w:color="auto" w:fill="auto"/>
          </w:tcPr>
          <w:p w:rsidR="00072335" w:rsidRDefault="00072335" w:rsidP="00911279">
            <w:pPr>
              <w:jc w:val="both"/>
            </w:pPr>
            <w:r>
              <w:t>15%</w:t>
            </w:r>
          </w:p>
        </w:tc>
      </w:tr>
      <w:tr w:rsidR="00072335" w:rsidTr="00911279">
        <w:tc>
          <w:tcPr>
            <w:tcW w:w="2123" w:type="dxa"/>
            <w:shd w:val="clear" w:color="auto" w:fill="auto"/>
          </w:tcPr>
          <w:p w:rsidR="00072335" w:rsidRDefault="00072335" w:rsidP="00911279">
            <w:pPr>
              <w:jc w:val="both"/>
            </w:pPr>
            <w:r>
              <w:t>4</w:t>
            </w:r>
          </w:p>
        </w:tc>
        <w:tc>
          <w:tcPr>
            <w:tcW w:w="2123" w:type="dxa"/>
            <w:shd w:val="clear" w:color="auto" w:fill="auto"/>
          </w:tcPr>
          <w:p w:rsidR="00072335" w:rsidRDefault="00072335" w:rsidP="00911279">
            <w:pPr>
              <w:jc w:val="both"/>
            </w:pPr>
            <w:r>
              <w:t>180.000</w:t>
            </w:r>
          </w:p>
        </w:tc>
        <w:tc>
          <w:tcPr>
            <w:tcW w:w="2124" w:type="dxa"/>
            <w:shd w:val="clear" w:color="auto" w:fill="auto"/>
          </w:tcPr>
          <w:p w:rsidR="00072335" w:rsidRDefault="00072335" w:rsidP="00911279">
            <w:pPr>
              <w:jc w:val="both"/>
            </w:pPr>
          </w:p>
        </w:tc>
        <w:tc>
          <w:tcPr>
            <w:tcW w:w="2124" w:type="dxa"/>
            <w:shd w:val="clear" w:color="auto" w:fill="auto"/>
          </w:tcPr>
          <w:p w:rsidR="00072335" w:rsidRDefault="00072335" w:rsidP="00911279">
            <w:pPr>
              <w:jc w:val="both"/>
            </w:pPr>
            <w:r>
              <w:t>20%</w:t>
            </w:r>
          </w:p>
        </w:tc>
      </w:tr>
    </w:tbl>
    <w:p w:rsidR="00072335" w:rsidRDefault="00072335" w:rsidP="00072335">
      <w:pPr>
        <w:pStyle w:val="HTMLconformatoprevio"/>
        <w:shd w:val="clear" w:color="auto" w:fill="FFFFFF"/>
        <w:spacing w:after="150" w:line="240" w:lineRule="auto"/>
        <w:jc w:val="both"/>
        <w:rPr>
          <w:rFonts w:ascii="Arial" w:hAnsi="Arial" w:cs="Arial"/>
          <w:sz w:val="24"/>
          <w:szCs w:val="24"/>
        </w:rPr>
      </w:pPr>
    </w:p>
    <w:p w:rsidR="00072335" w:rsidRDefault="00072335" w:rsidP="00072335">
      <w:pPr>
        <w:spacing w:line="240" w:lineRule="auto"/>
        <w:jc w:val="both"/>
        <w:rPr>
          <w:rFonts w:ascii="Arial" w:hAnsi="Arial" w:cs="Arial"/>
          <w:sz w:val="24"/>
          <w:szCs w:val="24"/>
          <w:shd w:val="clear" w:color="auto" w:fill="FFFFFF"/>
        </w:rPr>
      </w:pPr>
      <w:r w:rsidRPr="00031C56">
        <w:rPr>
          <w:rFonts w:ascii="Arial" w:hAnsi="Arial" w:cs="Arial"/>
          <w:sz w:val="24"/>
          <w:szCs w:val="24"/>
          <w:shd w:val="clear" w:color="auto" w:fill="FFFFFF"/>
        </w:rPr>
        <w:t>En ningún caso el monto de las jubilaciones, pensiones o prestaciones de pasividad similares líquidas, una vez deducid</w:t>
      </w:r>
      <w:r>
        <w:rPr>
          <w:rFonts w:ascii="Arial" w:hAnsi="Arial" w:cs="Arial"/>
          <w:sz w:val="24"/>
          <w:szCs w:val="24"/>
          <w:shd w:val="clear" w:color="auto" w:fill="FFFFFF"/>
        </w:rPr>
        <w:t>o</w:t>
      </w:r>
      <w:r w:rsidRPr="00031C56">
        <w:rPr>
          <w:rFonts w:ascii="Arial" w:hAnsi="Arial" w:cs="Arial"/>
          <w:sz w:val="24"/>
          <w:szCs w:val="24"/>
          <w:shd w:val="clear" w:color="auto" w:fill="FFFFFF"/>
        </w:rPr>
        <w:t xml:space="preserve">s </w:t>
      </w:r>
      <w:r>
        <w:rPr>
          <w:rFonts w:ascii="Arial" w:hAnsi="Arial" w:cs="Arial"/>
          <w:sz w:val="24"/>
          <w:szCs w:val="24"/>
          <w:shd w:val="clear" w:color="auto" w:fill="FFFFFF"/>
        </w:rPr>
        <w:t>el aporte al sistema de salud correspondiente</w:t>
      </w:r>
      <w:r w:rsidRPr="00031C56">
        <w:rPr>
          <w:rFonts w:ascii="Arial" w:hAnsi="Arial" w:cs="Arial"/>
          <w:sz w:val="24"/>
          <w:szCs w:val="24"/>
          <w:shd w:val="clear" w:color="auto" w:fill="FFFFFF"/>
        </w:rPr>
        <w:t>, el Impuesto a la Asistencia a la Seguridad Social y el impuesto que se crea, podrá ser inferior al mayor de los siguientes montos:</w:t>
      </w:r>
    </w:p>
    <w:p w:rsidR="00072335" w:rsidRPr="00AA3C89" w:rsidRDefault="00072335" w:rsidP="00072335">
      <w:pPr>
        <w:numPr>
          <w:ilvl w:val="0"/>
          <w:numId w:val="5"/>
        </w:numPr>
        <w:spacing w:line="240" w:lineRule="auto"/>
        <w:jc w:val="both"/>
        <w:rPr>
          <w:rFonts w:ascii="Arial" w:hAnsi="Arial" w:cs="Arial"/>
          <w:sz w:val="24"/>
          <w:szCs w:val="24"/>
          <w:shd w:val="clear" w:color="auto" w:fill="FFFFFF"/>
        </w:rPr>
      </w:pPr>
      <w:r w:rsidRPr="00AA3C89">
        <w:rPr>
          <w:rFonts w:ascii="Arial" w:hAnsi="Arial" w:cs="Arial"/>
          <w:sz w:val="24"/>
          <w:szCs w:val="24"/>
          <w:shd w:val="clear" w:color="auto" w:fill="FFFFFF"/>
        </w:rPr>
        <w:t>$100.000 (</w:t>
      </w:r>
      <w:r w:rsidR="00AB7C4E" w:rsidRPr="00AA3C89">
        <w:rPr>
          <w:rFonts w:ascii="Arial" w:hAnsi="Arial" w:cs="Arial"/>
          <w:sz w:val="24"/>
          <w:szCs w:val="24"/>
          <w:shd w:val="clear" w:color="auto" w:fill="FFFFFF"/>
        </w:rPr>
        <w:t>pesos cien</w:t>
      </w:r>
      <w:r w:rsidRPr="00AA3C89">
        <w:rPr>
          <w:rFonts w:ascii="Arial" w:hAnsi="Arial" w:cs="Arial"/>
          <w:sz w:val="24"/>
          <w:szCs w:val="24"/>
          <w:shd w:val="clear" w:color="auto" w:fill="FFFFFF"/>
        </w:rPr>
        <w:t xml:space="preserve"> mil) líquidos mensuales.</w:t>
      </w:r>
    </w:p>
    <w:p w:rsidR="00072335" w:rsidRPr="00662072" w:rsidRDefault="00072335" w:rsidP="00072335">
      <w:pPr>
        <w:numPr>
          <w:ilvl w:val="0"/>
          <w:numId w:val="5"/>
        </w:numPr>
        <w:spacing w:line="240" w:lineRule="auto"/>
        <w:jc w:val="both"/>
        <w:rPr>
          <w:rFonts w:ascii="Arial" w:hAnsi="Arial" w:cs="Arial"/>
          <w:sz w:val="24"/>
          <w:szCs w:val="24"/>
          <w:shd w:val="clear" w:color="auto" w:fill="FFFFFF"/>
        </w:rPr>
      </w:pPr>
      <w:r w:rsidRPr="00AA3C89">
        <w:rPr>
          <w:rFonts w:ascii="Arial" w:hAnsi="Arial" w:cs="Arial"/>
          <w:sz w:val="24"/>
          <w:szCs w:val="24"/>
          <w:shd w:val="clear" w:color="auto" w:fill="FFFFFF"/>
        </w:rPr>
        <w:t xml:space="preserve">El líquido resultante del </w:t>
      </w:r>
      <w:r w:rsidR="00AB7C4E" w:rsidRPr="00AA3C89">
        <w:rPr>
          <w:rFonts w:ascii="Arial" w:hAnsi="Arial" w:cs="Arial"/>
          <w:sz w:val="24"/>
          <w:szCs w:val="24"/>
          <w:shd w:val="clear" w:color="auto" w:fill="FFFFFF"/>
        </w:rPr>
        <w:t>mayor ingreso</w:t>
      </w:r>
      <w:r w:rsidRPr="00AA3C89">
        <w:rPr>
          <w:rFonts w:ascii="Arial" w:hAnsi="Arial" w:cs="Arial"/>
          <w:sz w:val="24"/>
          <w:szCs w:val="24"/>
          <w:shd w:val="clear" w:color="auto" w:fill="FFFFFF"/>
        </w:rPr>
        <w:t xml:space="preserve"> de la franja anterior</w:t>
      </w:r>
      <w:r w:rsidR="00FC6604" w:rsidRPr="00AA3C89">
        <w:rPr>
          <w:rFonts w:ascii="Arial" w:hAnsi="Arial" w:cs="Arial"/>
          <w:sz w:val="24"/>
          <w:szCs w:val="24"/>
          <w:shd w:val="clear" w:color="auto" w:fill="FFFFFF"/>
        </w:rPr>
        <w:t xml:space="preserve"> </w:t>
      </w:r>
      <w:r w:rsidR="00FC6604" w:rsidRPr="00AA3C89">
        <w:rPr>
          <w:rFonts w:ascii="Arial" w:hAnsi="Arial" w:cs="Arial"/>
          <w:sz w:val="24"/>
          <w:szCs w:val="24"/>
        </w:rPr>
        <w:t xml:space="preserve">conforme </w:t>
      </w:r>
      <w:r w:rsidR="00E400CA" w:rsidRPr="00AA3C89">
        <w:rPr>
          <w:rFonts w:ascii="Arial" w:hAnsi="Arial" w:cs="Arial"/>
          <w:sz w:val="24"/>
          <w:szCs w:val="24"/>
        </w:rPr>
        <w:t>a</w:t>
      </w:r>
      <w:r w:rsidR="00FC6604" w:rsidRPr="00AA3C89">
        <w:rPr>
          <w:rFonts w:ascii="Arial" w:hAnsi="Arial" w:cs="Arial"/>
          <w:sz w:val="24"/>
          <w:szCs w:val="24"/>
        </w:rPr>
        <w:t xml:space="preserve"> </w:t>
      </w:r>
      <w:r w:rsidR="00FC6604">
        <w:rPr>
          <w:rFonts w:ascii="Arial" w:hAnsi="Arial" w:cs="Arial"/>
          <w:sz w:val="24"/>
          <w:szCs w:val="24"/>
        </w:rPr>
        <w:t xml:space="preserve">la liquidación de una persona física sin dependientes ni otros familiares a cargo a efecto de </w:t>
      </w:r>
      <w:r w:rsidR="00FC6604">
        <w:rPr>
          <w:rFonts w:ascii="Arial" w:hAnsi="Arial" w:cs="Arial"/>
          <w:sz w:val="24"/>
          <w:szCs w:val="24"/>
          <w:shd w:val="clear" w:color="auto" w:fill="FFFFFF"/>
        </w:rPr>
        <w:t xml:space="preserve">los </w:t>
      </w:r>
      <w:r w:rsidRPr="00662072">
        <w:rPr>
          <w:rFonts w:ascii="Arial" w:hAnsi="Arial" w:cs="Arial"/>
          <w:sz w:val="24"/>
          <w:szCs w:val="24"/>
          <w:shd w:val="clear" w:color="auto" w:fill="FFFFFF"/>
        </w:rPr>
        <w:t>aporte</w:t>
      </w:r>
      <w:r w:rsidR="00FC6604">
        <w:rPr>
          <w:rFonts w:ascii="Arial" w:hAnsi="Arial" w:cs="Arial"/>
          <w:sz w:val="24"/>
          <w:szCs w:val="24"/>
          <w:shd w:val="clear" w:color="auto" w:fill="FFFFFF"/>
        </w:rPr>
        <w:t>s</w:t>
      </w:r>
      <w:r w:rsidRPr="00662072">
        <w:rPr>
          <w:rFonts w:ascii="Arial" w:hAnsi="Arial" w:cs="Arial"/>
          <w:sz w:val="24"/>
          <w:szCs w:val="24"/>
          <w:shd w:val="clear" w:color="auto" w:fill="FFFFFF"/>
        </w:rPr>
        <w:t xml:space="preserve"> personal</w:t>
      </w:r>
      <w:r w:rsidR="00FC6604">
        <w:rPr>
          <w:rFonts w:ascii="Arial" w:hAnsi="Arial" w:cs="Arial"/>
          <w:sz w:val="24"/>
          <w:szCs w:val="24"/>
          <w:shd w:val="clear" w:color="auto" w:fill="FFFFFF"/>
        </w:rPr>
        <w:t>es</w:t>
      </w:r>
      <w:r w:rsidRPr="00662072">
        <w:rPr>
          <w:rFonts w:ascii="Arial" w:hAnsi="Arial" w:cs="Arial"/>
          <w:sz w:val="24"/>
          <w:szCs w:val="24"/>
          <w:shd w:val="clear" w:color="auto" w:fill="FFFFFF"/>
        </w:rPr>
        <w:t xml:space="preserve"> al Fondo Nacional de Salud.</w:t>
      </w:r>
    </w:p>
    <w:p w:rsidR="00072335" w:rsidRPr="00031C56" w:rsidRDefault="00072335" w:rsidP="00072335">
      <w:pPr>
        <w:spacing w:line="240" w:lineRule="auto"/>
        <w:jc w:val="both"/>
        <w:rPr>
          <w:rFonts w:ascii="Arial" w:hAnsi="Arial" w:cs="Arial"/>
          <w:sz w:val="24"/>
          <w:szCs w:val="24"/>
          <w:shd w:val="clear" w:color="auto" w:fill="FFFFFF"/>
        </w:rPr>
      </w:pPr>
      <w:r w:rsidRPr="00031C56">
        <w:rPr>
          <w:rFonts w:ascii="Arial" w:hAnsi="Arial" w:cs="Arial"/>
          <w:b/>
          <w:sz w:val="24"/>
          <w:szCs w:val="24"/>
          <w:shd w:val="clear" w:color="auto" w:fill="FFFFFF"/>
        </w:rPr>
        <w:t>Artículo 9</w:t>
      </w:r>
      <w:r w:rsidR="00A841A7">
        <w:rPr>
          <w:rFonts w:ascii="Arial" w:hAnsi="Arial" w:cs="Arial"/>
          <w:b/>
          <w:sz w:val="24"/>
          <w:szCs w:val="24"/>
          <w:shd w:val="clear" w:color="auto" w:fill="FFFFFF"/>
        </w:rPr>
        <w:t>.</w:t>
      </w:r>
      <w:r w:rsidRPr="00031C56">
        <w:rPr>
          <w:rFonts w:ascii="Arial" w:hAnsi="Arial" w:cs="Arial"/>
          <w:sz w:val="24"/>
          <w:szCs w:val="24"/>
          <w:shd w:val="clear" w:color="auto" w:fill="FFFFFF"/>
        </w:rPr>
        <w:t xml:space="preserve"> </w:t>
      </w:r>
      <w:r w:rsidR="00A841A7">
        <w:rPr>
          <w:rFonts w:ascii="Arial" w:hAnsi="Arial" w:cs="Arial"/>
          <w:sz w:val="24"/>
          <w:szCs w:val="24"/>
          <w:shd w:val="clear" w:color="auto" w:fill="FFFFFF"/>
        </w:rPr>
        <w:t xml:space="preserve"> </w:t>
      </w:r>
      <w:r w:rsidRPr="00031C56">
        <w:rPr>
          <w:rFonts w:ascii="Arial" w:hAnsi="Arial" w:cs="Arial"/>
          <w:sz w:val="24"/>
          <w:szCs w:val="24"/>
          <w:shd w:val="clear" w:color="auto" w:fill="FFFFFF"/>
        </w:rPr>
        <w:t xml:space="preserve">A los efectos de la retención de las pensiones alimenticias que tienen su base de cálculo en las remuneraciones o prestaciones líquidas, </w:t>
      </w:r>
      <w:r>
        <w:rPr>
          <w:rFonts w:ascii="Arial" w:hAnsi="Arial" w:cs="Arial"/>
          <w:sz w:val="24"/>
          <w:szCs w:val="24"/>
          <w:shd w:val="clear" w:color="auto" w:fill="FFFFFF"/>
        </w:rPr>
        <w:t>dispóngase</w:t>
      </w:r>
      <w:r w:rsidRPr="00031C56">
        <w:rPr>
          <w:rFonts w:ascii="Arial" w:hAnsi="Arial" w:cs="Arial"/>
          <w:sz w:val="24"/>
          <w:szCs w:val="24"/>
          <w:shd w:val="clear" w:color="auto" w:fill="FFFFFF"/>
        </w:rPr>
        <w:t xml:space="preserve"> que el impuesto creado en la presente </w:t>
      </w:r>
      <w:r w:rsidR="00BF75D6" w:rsidRPr="00031C56">
        <w:rPr>
          <w:rFonts w:ascii="Arial" w:hAnsi="Arial" w:cs="Arial"/>
          <w:sz w:val="24"/>
          <w:szCs w:val="24"/>
          <w:shd w:val="clear" w:color="auto" w:fill="FFFFFF"/>
        </w:rPr>
        <w:t>ley</w:t>
      </w:r>
      <w:r w:rsidRPr="00031C56">
        <w:rPr>
          <w:rFonts w:ascii="Arial" w:hAnsi="Arial" w:cs="Arial"/>
          <w:sz w:val="24"/>
          <w:szCs w:val="24"/>
          <w:shd w:val="clear" w:color="auto" w:fill="FFFFFF"/>
        </w:rPr>
        <w:t xml:space="preserve"> no será tomado en cuenta para la misma.</w:t>
      </w:r>
    </w:p>
    <w:p w:rsidR="00072335" w:rsidRPr="00AA3C89" w:rsidRDefault="00072335" w:rsidP="00072335">
      <w:pPr>
        <w:pStyle w:val="NormalWeb"/>
        <w:shd w:val="clear" w:color="auto" w:fill="FFFFFF"/>
        <w:spacing w:after="150"/>
        <w:jc w:val="both"/>
        <w:rPr>
          <w:rFonts w:ascii="Arial" w:hAnsi="Arial" w:cs="Arial"/>
        </w:rPr>
      </w:pPr>
      <w:r w:rsidRPr="00A21C1A">
        <w:rPr>
          <w:rFonts w:ascii="Arial" w:hAnsi="Arial" w:cs="Arial"/>
          <w:b/>
        </w:rPr>
        <w:t>Art</w:t>
      </w:r>
      <w:r w:rsidR="00A841A7">
        <w:rPr>
          <w:rFonts w:ascii="Arial" w:hAnsi="Arial" w:cs="Arial"/>
          <w:b/>
        </w:rPr>
        <w:t>ículo</w:t>
      </w:r>
      <w:r w:rsidRPr="00A21C1A">
        <w:rPr>
          <w:rFonts w:ascii="Arial" w:hAnsi="Arial" w:cs="Arial"/>
          <w:b/>
        </w:rPr>
        <w:t xml:space="preserve"> 1</w:t>
      </w:r>
      <w:r w:rsidR="00A841A7">
        <w:rPr>
          <w:rFonts w:ascii="Arial" w:hAnsi="Arial" w:cs="Arial"/>
          <w:b/>
        </w:rPr>
        <w:t>0</w:t>
      </w:r>
      <w:r w:rsidRPr="00A21C1A">
        <w:rPr>
          <w:rFonts w:ascii="Arial" w:hAnsi="Arial" w:cs="Arial"/>
          <w:b/>
        </w:rPr>
        <w:t>.</w:t>
      </w:r>
      <w:r w:rsidRPr="00A21C1A">
        <w:rPr>
          <w:rFonts w:ascii="Arial" w:hAnsi="Arial" w:cs="Arial"/>
        </w:rPr>
        <w:t xml:space="preserve"> Facultase al Poder Ejecutivo a establecer regímenes de retención del impuesto correspondiente a los ingresos a que refiere la presente ley que liberarán al contribuyente de la obligación de practicar la liquidación </w:t>
      </w:r>
      <w:r w:rsidRPr="00AA3C89">
        <w:rPr>
          <w:rFonts w:ascii="Arial" w:hAnsi="Arial" w:cs="Arial"/>
        </w:rPr>
        <w:t>correspondiente.</w:t>
      </w:r>
    </w:p>
    <w:p w:rsidR="00072335" w:rsidRPr="00AA3C89" w:rsidRDefault="00072335" w:rsidP="00D038A8">
      <w:pPr>
        <w:jc w:val="both"/>
        <w:rPr>
          <w:rFonts w:ascii="Arial" w:hAnsi="Arial" w:cs="Arial"/>
          <w:sz w:val="24"/>
          <w:szCs w:val="24"/>
        </w:rPr>
      </w:pPr>
      <w:r w:rsidRPr="00AA3C89">
        <w:rPr>
          <w:rFonts w:ascii="Arial" w:hAnsi="Arial" w:cs="Arial"/>
          <w:b/>
          <w:sz w:val="24"/>
          <w:szCs w:val="24"/>
        </w:rPr>
        <w:t>Artículo 1</w:t>
      </w:r>
      <w:r w:rsidR="00A841A7" w:rsidRPr="00AA3C89">
        <w:rPr>
          <w:rFonts w:ascii="Arial" w:hAnsi="Arial" w:cs="Arial"/>
          <w:b/>
          <w:sz w:val="24"/>
          <w:szCs w:val="24"/>
        </w:rPr>
        <w:t>1</w:t>
      </w:r>
      <w:r w:rsidRPr="00AA3C89">
        <w:rPr>
          <w:rFonts w:ascii="Arial" w:hAnsi="Arial" w:cs="Arial"/>
          <w:sz w:val="24"/>
          <w:szCs w:val="24"/>
        </w:rPr>
        <w:t xml:space="preserve">. </w:t>
      </w:r>
      <w:r w:rsidR="00D038A8" w:rsidRPr="00AA3C89">
        <w:rPr>
          <w:rFonts w:ascii="Arial" w:hAnsi="Arial" w:cs="Arial"/>
          <w:sz w:val="24"/>
          <w:szCs w:val="24"/>
        </w:rPr>
        <w:t xml:space="preserve">Los tributos establecidos en </w:t>
      </w:r>
      <w:r w:rsidRPr="00AA3C89">
        <w:rPr>
          <w:rFonts w:ascii="Arial" w:hAnsi="Arial" w:cs="Arial"/>
          <w:sz w:val="24"/>
          <w:szCs w:val="24"/>
        </w:rPr>
        <w:t xml:space="preserve">la presente ley se </w:t>
      </w:r>
      <w:r w:rsidR="009840C4" w:rsidRPr="00AA3C89">
        <w:rPr>
          <w:rFonts w:ascii="Arial" w:hAnsi="Arial" w:cs="Arial"/>
          <w:sz w:val="24"/>
          <w:szCs w:val="24"/>
        </w:rPr>
        <w:t>aplicarán</w:t>
      </w:r>
      <w:r w:rsidRPr="00AA3C89">
        <w:rPr>
          <w:rFonts w:ascii="Arial" w:hAnsi="Arial" w:cs="Arial"/>
          <w:sz w:val="24"/>
          <w:szCs w:val="24"/>
        </w:rPr>
        <w:t xml:space="preserve"> a los</w:t>
      </w:r>
      <w:r w:rsidR="009840C4" w:rsidRPr="00AA3C89">
        <w:rPr>
          <w:rFonts w:ascii="Arial" w:hAnsi="Arial" w:cs="Arial"/>
          <w:sz w:val="24"/>
          <w:szCs w:val="24"/>
        </w:rPr>
        <w:t xml:space="preserve"> ingresos correspondientes a los </w:t>
      </w:r>
      <w:r w:rsidR="00D038A8" w:rsidRPr="00AA3C89">
        <w:rPr>
          <w:rFonts w:ascii="Arial" w:hAnsi="Arial" w:cs="Arial"/>
          <w:sz w:val="24"/>
          <w:szCs w:val="24"/>
        </w:rPr>
        <w:t xml:space="preserve">meses de abril y mayo </w:t>
      </w:r>
      <w:r w:rsidR="009840C4" w:rsidRPr="00AA3C89">
        <w:rPr>
          <w:rFonts w:ascii="Arial" w:hAnsi="Arial" w:cs="Arial"/>
          <w:sz w:val="24"/>
          <w:szCs w:val="24"/>
        </w:rPr>
        <w:t xml:space="preserve">de 2020 </w:t>
      </w:r>
      <w:r w:rsidRPr="00AA3C89">
        <w:rPr>
          <w:rFonts w:ascii="Arial" w:hAnsi="Arial" w:cs="Arial"/>
          <w:sz w:val="24"/>
          <w:szCs w:val="24"/>
        </w:rPr>
        <w:t xml:space="preserve">facultándose al Poder </w:t>
      </w:r>
      <w:r w:rsidR="009840C4" w:rsidRPr="00AA3C89">
        <w:rPr>
          <w:rFonts w:ascii="Arial" w:hAnsi="Arial" w:cs="Arial"/>
          <w:sz w:val="24"/>
          <w:szCs w:val="24"/>
        </w:rPr>
        <w:t>E</w:t>
      </w:r>
      <w:r w:rsidRPr="00AA3C89">
        <w:rPr>
          <w:rFonts w:ascii="Arial" w:hAnsi="Arial" w:cs="Arial"/>
          <w:sz w:val="24"/>
          <w:szCs w:val="24"/>
        </w:rPr>
        <w:t xml:space="preserve">jecutivo a prorrogar </w:t>
      </w:r>
      <w:r w:rsidR="00D038A8" w:rsidRPr="00AA3C89">
        <w:rPr>
          <w:rFonts w:ascii="Arial" w:hAnsi="Arial" w:cs="Arial"/>
          <w:sz w:val="24"/>
          <w:szCs w:val="24"/>
        </w:rPr>
        <w:t xml:space="preserve">su aplicación hasta por un periodo máximo de </w:t>
      </w:r>
      <w:r w:rsidRPr="00AA3C89">
        <w:rPr>
          <w:rFonts w:ascii="Arial" w:hAnsi="Arial" w:cs="Arial"/>
          <w:sz w:val="24"/>
          <w:szCs w:val="24"/>
        </w:rPr>
        <w:t>tres meses, comunicándolo a la Asamblea General.</w:t>
      </w:r>
    </w:p>
    <w:p w:rsidR="00072335" w:rsidRPr="00810B8D" w:rsidRDefault="00072335" w:rsidP="00C35FC4">
      <w:pPr>
        <w:jc w:val="both"/>
        <w:rPr>
          <w:rFonts w:ascii="Arial" w:hAnsi="Arial" w:cs="Arial"/>
          <w:sz w:val="24"/>
          <w:szCs w:val="24"/>
        </w:rPr>
      </w:pPr>
      <w:r w:rsidRPr="00810B8D">
        <w:rPr>
          <w:rFonts w:ascii="Arial" w:hAnsi="Arial" w:cs="Arial"/>
          <w:b/>
          <w:sz w:val="24"/>
          <w:szCs w:val="24"/>
        </w:rPr>
        <w:t>Artículo 1</w:t>
      </w:r>
      <w:r w:rsidR="00A841A7">
        <w:rPr>
          <w:rFonts w:ascii="Arial" w:hAnsi="Arial" w:cs="Arial"/>
          <w:b/>
          <w:sz w:val="24"/>
          <w:szCs w:val="24"/>
        </w:rPr>
        <w:t>2</w:t>
      </w:r>
      <w:r w:rsidRPr="00810B8D">
        <w:rPr>
          <w:rFonts w:ascii="Arial" w:hAnsi="Arial" w:cs="Arial"/>
          <w:b/>
          <w:sz w:val="24"/>
          <w:szCs w:val="24"/>
        </w:rPr>
        <w:t xml:space="preserve">. </w:t>
      </w:r>
      <w:r w:rsidRPr="00810B8D">
        <w:rPr>
          <w:rFonts w:ascii="Arial" w:hAnsi="Arial" w:cs="Arial"/>
          <w:sz w:val="24"/>
          <w:szCs w:val="24"/>
        </w:rPr>
        <w:t xml:space="preserve">Las donaciones de terceros </w:t>
      </w:r>
      <w:r>
        <w:rPr>
          <w:rFonts w:ascii="Arial" w:hAnsi="Arial" w:cs="Arial"/>
          <w:sz w:val="24"/>
          <w:szCs w:val="24"/>
        </w:rPr>
        <w:t xml:space="preserve">previstas en el numeral 4) del artículo 2, </w:t>
      </w:r>
      <w:r w:rsidRPr="00810B8D">
        <w:rPr>
          <w:rFonts w:ascii="Arial" w:hAnsi="Arial" w:cs="Arial"/>
          <w:sz w:val="24"/>
          <w:szCs w:val="24"/>
        </w:rPr>
        <w:t>realizadas al Fondo Coronavirus por personas físicas residentes se considerarán comprendidas dentro del literal f) del artículo 27 del Título 7 del Texto Ordenado 1996.</w:t>
      </w:r>
    </w:p>
    <w:p w:rsidR="00072335" w:rsidRPr="00AE427A" w:rsidRDefault="00072335" w:rsidP="00C35FC4">
      <w:pPr>
        <w:jc w:val="both"/>
        <w:rPr>
          <w:rFonts w:ascii="Arial" w:hAnsi="Arial" w:cs="Arial"/>
          <w:sz w:val="24"/>
          <w:szCs w:val="24"/>
        </w:rPr>
      </w:pPr>
      <w:r>
        <w:rPr>
          <w:rFonts w:ascii="Arial" w:hAnsi="Arial" w:cs="Arial"/>
          <w:b/>
          <w:sz w:val="24"/>
          <w:szCs w:val="24"/>
        </w:rPr>
        <w:t>Artículo 1</w:t>
      </w:r>
      <w:r w:rsidR="00A841A7">
        <w:rPr>
          <w:rFonts w:ascii="Arial" w:hAnsi="Arial" w:cs="Arial"/>
          <w:b/>
          <w:sz w:val="24"/>
          <w:szCs w:val="24"/>
        </w:rPr>
        <w:t>3</w:t>
      </w:r>
      <w:r>
        <w:rPr>
          <w:rFonts w:ascii="Arial" w:hAnsi="Arial" w:cs="Arial"/>
          <w:b/>
          <w:sz w:val="24"/>
          <w:szCs w:val="24"/>
        </w:rPr>
        <w:t xml:space="preserve">. </w:t>
      </w:r>
      <w:r>
        <w:rPr>
          <w:rFonts w:ascii="Arial" w:hAnsi="Arial" w:cs="Arial"/>
          <w:sz w:val="24"/>
          <w:szCs w:val="24"/>
        </w:rPr>
        <w:t>Facultase al Poder Ejecutivo a otorgar a las entidades que realicen donaciones al Fondo Coronavirus, según lo previsto en el numeral 4) del artículo 2, un crédito por el Impuesto al Valor Agregado incluido en las adquisiciones de bienes y servicios destinados a integrar el costo de los bienes donados.</w:t>
      </w:r>
    </w:p>
    <w:p w:rsidR="00072335" w:rsidRPr="00365093" w:rsidRDefault="00072335" w:rsidP="00072335">
      <w:pPr>
        <w:spacing w:before="100" w:beforeAutospacing="1" w:after="100" w:afterAutospacing="1" w:line="276" w:lineRule="auto"/>
        <w:jc w:val="both"/>
        <w:rPr>
          <w:rFonts w:ascii="Times New Roman" w:eastAsia="Times New Roman" w:hAnsi="Times New Roman"/>
          <w:sz w:val="24"/>
          <w:szCs w:val="24"/>
          <w:lang w:eastAsia="es-ES"/>
        </w:rPr>
      </w:pPr>
      <w:r w:rsidRPr="00365093">
        <w:rPr>
          <w:rFonts w:ascii="Arial" w:eastAsia="Times New Roman" w:hAnsi="Arial" w:cs="Arial"/>
          <w:sz w:val="24"/>
          <w:szCs w:val="24"/>
          <w:lang w:val="es-UY" w:eastAsia="es-ES"/>
        </w:rPr>
        <w:t>Dicho crédito será materializado mediante certificados de crédito en el régimen correspondiente a los exportadores, en las condiciones que determine la Dirección General Impositiva.</w:t>
      </w:r>
    </w:p>
    <w:p w:rsidR="00072335" w:rsidRPr="002B43DA" w:rsidRDefault="00072335" w:rsidP="00072335">
      <w:pPr>
        <w:spacing w:line="240" w:lineRule="auto"/>
        <w:jc w:val="both"/>
        <w:rPr>
          <w:rFonts w:ascii="Arial" w:hAnsi="Arial" w:cs="Arial"/>
          <w:b/>
          <w:sz w:val="24"/>
          <w:szCs w:val="24"/>
          <w:u w:val="single"/>
        </w:rPr>
      </w:pPr>
      <w:r w:rsidRPr="00031C56">
        <w:rPr>
          <w:rFonts w:ascii="Arial" w:hAnsi="Arial" w:cs="Arial"/>
          <w:b/>
          <w:sz w:val="24"/>
          <w:szCs w:val="24"/>
        </w:rPr>
        <w:t>Artículo</w:t>
      </w:r>
      <w:r w:rsidR="00A841A7">
        <w:rPr>
          <w:rFonts w:ascii="Arial" w:hAnsi="Arial" w:cs="Arial"/>
          <w:b/>
          <w:sz w:val="24"/>
          <w:szCs w:val="24"/>
        </w:rPr>
        <w:t xml:space="preserve"> </w:t>
      </w:r>
      <w:r w:rsidRPr="00031C56">
        <w:rPr>
          <w:rFonts w:ascii="Arial" w:hAnsi="Arial" w:cs="Arial"/>
          <w:b/>
          <w:sz w:val="24"/>
          <w:szCs w:val="24"/>
        </w:rPr>
        <w:t>1</w:t>
      </w:r>
      <w:r w:rsidR="00A841A7">
        <w:rPr>
          <w:rFonts w:ascii="Arial" w:hAnsi="Arial" w:cs="Arial"/>
          <w:b/>
          <w:sz w:val="24"/>
          <w:szCs w:val="24"/>
        </w:rPr>
        <w:t>4</w:t>
      </w:r>
      <w:r w:rsidRPr="00031C56">
        <w:rPr>
          <w:rFonts w:ascii="Arial" w:hAnsi="Arial" w:cs="Arial"/>
          <w:b/>
          <w:sz w:val="24"/>
          <w:szCs w:val="24"/>
        </w:rPr>
        <w:t xml:space="preserve">. </w:t>
      </w:r>
      <w:r w:rsidRPr="00031C56">
        <w:rPr>
          <w:rFonts w:ascii="Arial" w:hAnsi="Arial" w:cs="Arial"/>
          <w:sz w:val="24"/>
          <w:szCs w:val="24"/>
        </w:rPr>
        <w:t>El Poder Ejecutivo determinará el momento de finalización de lo preceptuado de acuerdo al artículo 19 de la ley 18.621 de 25 de octubre de 2009</w:t>
      </w:r>
    </w:p>
    <w:p w:rsidR="00F9039A" w:rsidRDefault="00F87F62"/>
    <w:sectPr w:rsidR="00F903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361"/>
    <w:multiLevelType w:val="hybridMultilevel"/>
    <w:tmpl w:val="3A38CF10"/>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A847785"/>
    <w:multiLevelType w:val="hybridMultilevel"/>
    <w:tmpl w:val="BEC63E9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C64441"/>
    <w:multiLevelType w:val="hybridMultilevel"/>
    <w:tmpl w:val="8BF845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FB73262"/>
    <w:multiLevelType w:val="hybridMultilevel"/>
    <w:tmpl w:val="37A077B0"/>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15:restartNumberingAfterBreak="0">
    <w:nsid w:val="7D365062"/>
    <w:multiLevelType w:val="hybridMultilevel"/>
    <w:tmpl w:val="3E2EF8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35"/>
    <w:rsid w:val="00024B0B"/>
    <w:rsid w:val="00040490"/>
    <w:rsid w:val="00046F65"/>
    <w:rsid w:val="00060ACB"/>
    <w:rsid w:val="00072335"/>
    <w:rsid w:val="0013319E"/>
    <w:rsid w:val="001B593A"/>
    <w:rsid w:val="00243030"/>
    <w:rsid w:val="00291EF3"/>
    <w:rsid w:val="00293748"/>
    <w:rsid w:val="002A6C26"/>
    <w:rsid w:val="002B75F9"/>
    <w:rsid w:val="002E438B"/>
    <w:rsid w:val="00323208"/>
    <w:rsid w:val="00384227"/>
    <w:rsid w:val="00386B76"/>
    <w:rsid w:val="003B2604"/>
    <w:rsid w:val="003C03ED"/>
    <w:rsid w:val="003F7E45"/>
    <w:rsid w:val="00495D42"/>
    <w:rsid w:val="004B3717"/>
    <w:rsid w:val="00581DCE"/>
    <w:rsid w:val="00597601"/>
    <w:rsid w:val="005B4887"/>
    <w:rsid w:val="005F5186"/>
    <w:rsid w:val="00606B69"/>
    <w:rsid w:val="00611ED3"/>
    <w:rsid w:val="00680E03"/>
    <w:rsid w:val="006D6F11"/>
    <w:rsid w:val="006F47E4"/>
    <w:rsid w:val="00714336"/>
    <w:rsid w:val="007C239A"/>
    <w:rsid w:val="008932AF"/>
    <w:rsid w:val="008A1227"/>
    <w:rsid w:val="008E4619"/>
    <w:rsid w:val="009221B2"/>
    <w:rsid w:val="00925477"/>
    <w:rsid w:val="00946B77"/>
    <w:rsid w:val="00947BE0"/>
    <w:rsid w:val="009506E3"/>
    <w:rsid w:val="00953AB7"/>
    <w:rsid w:val="00962797"/>
    <w:rsid w:val="009840C4"/>
    <w:rsid w:val="009E712B"/>
    <w:rsid w:val="009F49FB"/>
    <w:rsid w:val="00A11C99"/>
    <w:rsid w:val="00A2651D"/>
    <w:rsid w:val="00A43BF9"/>
    <w:rsid w:val="00A841A7"/>
    <w:rsid w:val="00AA3C89"/>
    <w:rsid w:val="00AB7C4E"/>
    <w:rsid w:val="00B41A07"/>
    <w:rsid w:val="00BF75D6"/>
    <w:rsid w:val="00C27AA1"/>
    <w:rsid w:val="00C35FC4"/>
    <w:rsid w:val="00C43914"/>
    <w:rsid w:val="00C47397"/>
    <w:rsid w:val="00CD290B"/>
    <w:rsid w:val="00D038A8"/>
    <w:rsid w:val="00DB7C1A"/>
    <w:rsid w:val="00DC7506"/>
    <w:rsid w:val="00DD0596"/>
    <w:rsid w:val="00E306FA"/>
    <w:rsid w:val="00E400CA"/>
    <w:rsid w:val="00E460C1"/>
    <w:rsid w:val="00E56CE5"/>
    <w:rsid w:val="00E73730"/>
    <w:rsid w:val="00E82273"/>
    <w:rsid w:val="00E85943"/>
    <w:rsid w:val="00F05623"/>
    <w:rsid w:val="00F10B3D"/>
    <w:rsid w:val="00F87F62"/>
    <w:rsid w:val="00FC6604"/>
    <w:rsid w:val="00FF7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2012"/>
  <w15:chartTrackingRefBased/>
  <w15:docId w15:val="{FC1377C3-2648-4292-996A-854BE6B7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3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072335"/>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072335"/>
    <w:rPr>
      <w:rFonts w:ascii="Courier New" w:eastAsia="Calibri" w:hAnsi="Courier New" w:cs="Courier New"/>
      <w:sz w:val="20"/>
      <w:szCs w:val="20"/>
    </w:rPr>
  </w:style>
  <w:style w:type="paragraph" w:styleId="NormalWeb">
    <w:name w:val="Normal (Web)"/>
    <w:basedOn w:val="Normal"/>
    <w:uiPriority w:val="99"/>
    <w:unhideWhenUsed/>
    <w:rsid w:val="00072335"/>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072335"/>
    <w:pPr>
      <w:ind w:left="720"/>
      <w:contextualSpacing/>
    </w:pPr>
    <w:rPr>
      <w:lang w:val="es-UY"/>
    </w:rPr>
  </w:style>
  <w:style w:type="character" w:customStyle="1" w:styleId="text-justify">
    <w:name w:val="text-justify"/>
    <w:rsid w:val="0007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1542</Words>
  <Characters>7868</Characters>
  <Application>Microsoft Office Word</Application>
  <DocSecurity>0</DocSecurity>
  <Lines>126</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Biestro</dc:creator>
  <cp:keywords/>
  <dc:description/>
  <cp:lastModifiedBy>Gastón Gonzalez Napoli</cp:lastModifiedBy>
  <cp:revision>13</cp:revision>
  <dcterms:created xsi:type="dcterms:W3CDTF">2020-03-31T16:33:00Z</dcterms:created>
  <dcterms:modified xsi:type="dcterms:W3CDTF">2020-04-13T16:27:00Z</dcterms:modified>
</cp:coreProperties>
</file>